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103"/>
      </w:tblGrid>
      <w:tr w:rsidR="000826A2" w14:paraId="534A781A" w14:textId="77777777" w:rsidTr="003D5027">
        <w:tc>
          <w:tcPr>
            <w:tcW w:w="4537" w:type="dxa"/>
          </w:tcPr>
          <w:p w14:paraId="1D486458" w14:textId="77777777" w:rsidR="000826A2" w:rsidRPr="000826A2" w:rsidRDefault="000826A2" w:rsidP="000826A2">
            <w:pPr>
              <w:jc w:val="center"/>
              <w:rPr>
                <w:bCs/>
              </w:rPr>
            </w:pPr>
            <w:r w:rsidRPr="000826A2">
              <w:rPr>
                <w:bCs/>
              </w:rPr>
              <w:t>ĐẢNG ỦY MẶT TRẬN TỔ QUỐC,</w:t>
            </w:r>
            <w:r w:rsidRPr="000826A2">
              <w:rPr>
                <w:bCs/>
              </w:rPr>
              <w:br/>
              <w:t>CÁC ĐOÀN THỂ TRUNG ƯƠNG</w:t>
            </w:r>
          </w:p>
          <w:p w14:paraId="7D3E587C" w14:textId="77777777" w:rsidR="000826A2" w:rsidRDefault="000826A2" w:rsidP="000826A2">
            <w:pPr>
              <w:jc w:val="center"/>
              <w:rPr>
                <w:b/>
              </w:rPr>
            </w:pPr>
            <w:r>
              <w:rPr>
                <w:b/>
              </w:rPr>
              <w:t>BAN TUYÊN GIÁO VÀ DÂN VẬN</w:t>
            </w:r>
          </w:p>
          <w:p w14:paraId="5BD5890D" w14:textId="77777777" w:rsidR="000826A2" w:rsidRDefault="00BF0A10" w:rsidP="000826A2">
            <w:pPr>
              <w:jc w:val="center"/>
              <w:rPr>
                <w:b/>
              </w:rPr>
            </w:pPr>
            <w:r>
              <w:rPr>
                <w:b/>
              </w:rPr>
              <w:t>*</w:t>
            </w:r>
          </w:p>
          <w:p w14:paraId="29F7A93E" w14:textId="224C3566" w:rsidR="000826A2" w:rsidRDefault="000826A2" w:rsidP="000826A2">
            <w:pPr>
              <w:jc w:val="center"/>
            </w:pPr>
            <w:r>
              <w:t>Số:</w:t>
            </w:r>
            <w:r w:rsidR="00915ECD">
              <w:t xml:space="preserve"> 48</w:t>
            </w:r>
            <w:r w:rsidR="00502209">
              <w:t xml:space="preserve"> </w:t>
            </w:r>
            <w:r>
              <w:t>-CV/</w:t>
            </w:r>
            <w:r w:rsidR="00BF0A10">
              <w:t>BTG&amp;DV</w:t>
            </w:r>
          </w:p>
          <w:p w14:paraId="1907DC63" w14:textId="1A261A9D" w:rsidR="000826A2" w:rsidRDefault="000826A2" w:rsidP="000826A2">
            <w:pPr>
              <w:jc w:val="center"/>
            </w:pPr>
            <w:r w:rsidRPr="000826A2">
              <w:rPr>
                <w:bCs/>
                <w:i/>
                <w:iCs/>
                <w:sz w:val="24"/>
                <w:szCs w:val="24"/>
              </w:rPr>
              <w:t>V/v triển khai thực hiện các Chỉ thị, Kết luận của Bộ Chính trị</w:t>
            </w:r>
          </w:p>
          <w:p w14:paraId="5D9E937C" w14:textId="77777777" w:rsidR="000826A2" w:rsidRDefault="000826A2" w:rsidP="000826A2">
            <w:pPr>
              <w:jc w:val="center"/>
              <w:rPr>
                <w:b/>
              </w:rPr>
            </w:pPr>
          </w:p>
        </w:tc>
        <w:tc>
          <w:tcPr>
            <w:tcW w:w="5103" w:type="dxa"/>
          </w:tcPr>
          <w:p w14:paraId="278CEDDD" w14:textId="06FEA7B2" w:rsidR="000826A2" w:rsidRDefault="000826A2" w:rsidP="000826A2">
            <w:pPr>
              <w:jc w:val="center"/>
              <w:rPr>
                <w:b/>
                <w:sz w:val="30"/>
                <w:szCs w:val="30"/>
              </w:rPr>
            </w:pPr>
            <w:r w:rsidRPr="00BF0A10">
              <w:rPr>
                <w:b/>
                <w:sz w:val="30"/>
                <w:szCs w:val="30"/>
              </w:rPr>
              <w:t>ĐẢNG CỘNG SẢN VIỆT NAM</w:t>
            </w:r>
          </w:p>
          <w:p w14:paraId="648E0DC0" w14:textId="7273FB54" w:rsidR="00BF0A10" w:rsidRPr="00BF0A10" w:rsidRDefault="00582195" w:rsidP="000826A2">
            <w:pPr>
              <w:jc w:val="center"/>
              <w:rPr>
                <w:sz w:val="30"/>
                <w:szCs w:val="30"/>
              </w:rPr>
            </w:pPr>
            <w:r>
              <w:rPr>
                <w:b/>
                <w:noProof/>
                <w:sz w:val="30"/>
                <w:szCs w:val="30"/>
              </w:rPr>
              <mc:AlternateContent>
                <mc:Choice Requires="wps">
                  <w:drawing>
                    <wp:anchor distT="0" distB="0" distL="114300" distR="114300" simplePos="0" relativeHeight="251659264" behindDoc="0" locked="0" layoutInCell="1" allowOverlap="1" wp14:anchorId="7BD9E17E" wp14:editId="01B52D9F">
                      <wp:simplePos x="0" y="0"/>
                      <wp:positionH relativeFrom="column">
                        <wp:posOffset>252730</wp:posOffset>
                      </wp:positionH>
                      <wp:positionV relativeFrom="paragraph">
                        <wp:posOffset>37938</wp:posOffset>
                      </wp:positionV>
                      <wp:extent cx="2636520" cy="0"/>
                      <wp:effectExtent l="0" t="0" r="0" b="0"/>
                      <wp:wrapNone/>
                      <wp:docPr id="1187874123" name="Straight Connector 1"/>
                      <wp:cNvGraphicFramePr/>
                      <a:graphic xmlns:a="http://schemas.openxmlformats.org/drawingml/2006/main">
                        <a:graphicData uri="http://schemas.microsoft.com/office/word/2010/wordprocessingShape">
                          <wps:wsp>
                            <wps:cNvCnPr/>
                            <wps:spPr>
                              <a:xfrm>
                                <a:off x="0" y="0"/>
                                <a:ext cx="263652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28288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pt,3pt" to="22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" strokecolor="black [3040]"/>
                  </w:pict>
                </mc:Fallback>
              </mc:AlternateContent>
            </w:r>
          </w:p>
          <w:p w14:paraId="38B2701E" w14:textId="337D3ECD" w:rsidR="000826A2" w:rsidRPr="00BF0A10" w:rsidRDefault="000826A2" w:rsidP="000826A2">
            <w:pPr>
              <w:jc w:val="center"/>
              <w:rPr>
                <w:i/>
                <w:iCs/>
                <w:sz w:val="28"/>
                <w:szCs w:val="28"/>
              </w:rPr>
            </w:pPr>
            <w:r w:rsidRPr="00BF0A10">
              <w:rPr>
                <w:i/>
                <w:iCs/>
                <w:sz w:val="28"/>
                <w:szCs w:val="28"/>
              </w:rPr>
              <w:t xml:space="preserve">Hà Nội, ngày </w:t>
            </w:r>
            <w:r w:rsidR="00915ECD">
              <w:rPr>
                <w:i/>
                <w:iCs/>
                <w:sz w:val="28"/>
                <w:szCs w:val="28"/>
              </w:rPr>
              <w:t>19</w:t>
            </w:r>
            <w:r w:rsidRPr="00BF0A10">
              <w:rPr>
                <w:i/>
                <w:iCs/>
                <w:sz w:val="28"/>
                <w:szCs w:val="28"/>
              </w:rPr>
              <w:t xml:space="preserve"> tháng </w:t>
            </w:r>
            <w:r w:rsidR="00502209">
              <w:rPr>
                <w:i/>
                <w:iCs/>
                <w:sz w:val="28"/>
                <w:szCs w:val="28"/>
              </w:rPr>
              <w:t>12</w:t>
            </w:r>
            <w:r w:rsidRPr="00BF0A10">
              <w:rPr>
                <w:i/>
                <w:iCs/>
                <w:sz w:val="28"/>
                <w:szCs w:val="28"/>
              </w:rPr>
              <w:t xml:space="preserve"> năm 2025</w:t>
            </w:r>
          </w:p>
          <w:p w14:paraId="308401EC" w14:textId="77777777" w:rsidR="000826A2" w:rsidRDefault="000826A2" w:rsidP="000826A2">
            <w:pPr>
              <w:jc w:val="center"/>
              <w:rPr>
                <w:b/>
              </w:rPr>
            </w:pPr>
          </w:p>
        </w:tc>
      </w:tr>
    </w:tbl>
    <w:p w14:paraId="22C37204" w14:textId="77777777" w:rsidR="00C63679" w:rsidRPr="000826A2" w:rsidRDefault="000826A2" w:rsidP="000826A2">
      <w:pPr>
        <w:spacing w:after="0"/>
        <w:rPr>
          <w:bCs/>
          <w:i/>
          <w:iCs/>
          <w:sz w:val="28"/>
          <w:szCs w:val="28"/>
        </w:rPr>
      </w:pPr>
      <w:r>
        <w:rPr>
          <w:b/>
        </w:rPr>
        <w:tab/>
      </w:r>
      <w:r>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76"/>
      </w:tblGrid>
      <w:tr w:rsidR="00C63679" w14:paraId="047C2531" w14:textId="77777777" w:rsidTr="00D121DE">
        <w:tc>
          <w:tcPr>
            <w:tcW w:w="2263" w:type="dxa"/>
          </w:tcPr>
          <w:p w14:paraId="685C7E6C" w14:textId="36ED2FE8" w:rsidR="00C63679" w:rsidRDefault="00C63679" w:rsidP="00C63679">
            <w:pPr>
              <w:jc w:val="right"/>
              <w:rPr>
                <w:bCs/>
                <w:i/>
                <w:iCs/>
                <w:sz w:val="28"/>
                <w:szCs w:val="28"/>
              </w:rPr>
            </w:pPr>
            <w:r w:rsidRPr="000826A2">
              <w:rPr>
                <w:bCs/>
                <w:i/>
                <w:iCs/>
                <w:sz w:val="28"/>
                <w:szCs w:val="28"/>
              </w:rPr>
              <w:t>Kính gửi:</w:t>
            </w:r>
            <w:r w:rsidRPr="000826A2">
              <w:rPr>
                <w:bCs/>
                <w:sz w:val="28"/>
                <w:szCs w:val="28"/>
              </w:rPr>
              <w:t xml:space="preserve"> </w:t>
            </w:r>
          </w:p>
        </w:tc>
        <w:tc>
          <w:tcPr>
            <w:tcW w:w="7076" w:type="dxa"/>
          </w:tcPr>
          <w:p w14:paraId="296C80BE" w14:textId="3E9B866B" w:rsidR="00D121DE" w:rsidRDefault="00D121DE" w:rsidP="00D121DE">
            <w:pPr>
              <w:rPr>
                <w:bCs/>
                <w:sz w:val="28"/>
                <w:szCs w:val="28"/>
              </w:rPr>
            </w:pPr>
            <w:r>
              <w:rPr>
                <w:bCs/>
                <w:sz w:val="28"/>
                <w:szCs w:val="28"/>
              </w:rPr>
              <w:t xml:space="preserve">- </w:t>
            </w:r>
            <w:r w:rsidRPr="000826A2">
              <w:rPr>
                <w:bCs/>
                <w:sz w:val="28"/>
                <w:szCs w:val="28"/>
              </w:rPr>
              <w:t>Các cấp ủy</w:t>
            </w:r>
            <w:r w:rsidR="00A87ECE">
              <w:rPr>
                <w:bCs/>
                <w:sz w:val="28"/>
                <w:szCs w:val="28"/>
              </w:rPr>
              <w:t xml:space="preserve"> </w:t>
            </w:r>
            <w:r w:rsidRPr="000826A2">
              <w:rPr>
                <w:bCs/>
                <w:sz w:val="28"/>
                <w:szCs w:val="28"/>
              </w:rPr>
              <w:t xml:space="preserve">trực thuộc </w:t>
            </w:r>
          </w:p>
          <w:p w14:paraId="4293BCAF" w14:textId="451BEFB0" w:rsidR="00D121DE" w:rsidRDefault="00D121DE" w:rsidP="00D121DE">
            <w:pPr>
              <w:rPr>
                <w:bCs/>
                <w:sz w:val="28"/>
                <w:szCs w:val="28"/>
              </w:rPr>
            </w:pPr>
            <w:r w:rsidRPr="000826A2">
              <w:rPr>
                <w:bCs/>
                <w:sz w:val="28"/>
                <w:szCs w:val="28"/>
              </w:rPr>
              <w:t>Đảng ủy Mặt trận Tổ quốc, các đoàn thể Trung ương</w:t>
            </w:r>
          </w:p>
          <w:p w14:paraId="530EC763" w14:textId="63D12ACC" w:rsidR="00D121DE" w:rsidRDefault="00D121DE" w:rsidP="00D121DE">
            <w:pPr>
              <w:rPr>
                <w:bCs/>
                <w:sz w:val="28"/>
                <w:szCs w:val="28"/>
              </w:rPr>
            </w:pPr>
            <w:r>
              <w:rPr>
                <w:bCs/>
                <w:sz w:val="28"/>
                <w:szCs w:val="28"/>
              </w:rPr>
              <w:t>- Các cơ quan báo chí trực thuộc</w:t>
            </w:r>
          </w:p>
          <w:p w14:paraId="3F6AEFBE" w14:textId="7DC0A5C8" w:rsidR="00C63679" w:rsidRPr="00D121DE" w:rsidRDefault="00D121DE" w:rsidP="000826A2">
            <w:pPr>
              <w:rPr>
                <w:bCs/>
                <w:sz w:val="28"/>
                <w:szCs w:val="28"/>
              </w:rPr>
            </w:pPr>
            <w:r w:rsidRPr="000826A2">
              <w:rPr>
                <w:bCs/>
                <w:sz w:val="28"/>
                <w:szCs w:val="28"/>
              </w:rPr>
              <w:t>Đảng ủy Mặt trận Tổ quốc, các đoàn thể Trung ương</w:t>
            </w:r>
          </w:p>
        </w:tc>
      </w:tr>
    </w:tbl>
    <w:p w14:paraId="6F21EF5C" w14:textId="77777777" w:rsidR="000826A2" w:rsidRDefault="000826A2" w:rsidP="000826A2">
      <w:pPr>
        <w:spacing w:after="160"/>
        <w:jc w:val="both"/>
        <w:rPr>
          <w:sz w:val="28"/>
          <w:szCs w:val="28"/>
        </w:rPr>
      </w:pPr>
    </w:p>
    <w:p w14:paraId="5D7FD43F" w14:textId="53512B93" w:rsidR="00C63679" w:rsidRPr="00D121DE" w:rsidRDefault="000826A2" w:rsidP="00C63679">
      <w:pPr>
        <w:spacing w:after="160"/>
        <w:jc w:val="both"/>
        <w:rPr>
          <w:spacing w:val="-4"/>
          <w:sz w:val="28"/>
          <w:szCs w:val="28"/>
        </w:rPr>
      </w:pPr>
      <w:r w:rsidRPr="00D121DE">
        <w:rPr>
          <w:spacing w:val="-4"/>
          <w:sz w:val="28"/>
          <w:szCs w:val="28"/>
        </w:rPr>
        <w:tab/>
      </w:r>
      <w:r w:rsidR="00C63679" w:rsidRPr="00D121DE">
        <w:rPr>
          <w:spacing w:val="-4"/>
          <w:sz w:val="28"/>
          <w:szCs w:val="28"/>
        </w:rPr>
        <w:t xml:space="preserve">Căn cứ Chỉ thị số 54-CT/TW ngày 30/11/2025 của Bộ Chính trị về tăng cường sự lãnh đạo của Đảng đối với công tác giám định tư pháp và định giá tài sản; Kế hoạch số 05-KH/ĐUMTTQ,CĐTTW ngày 09/12/2025 của Ban Thường vụ Đảng ủy Mặt trận Tổ quốc, các đoàn thể Trung ương về triển khai thực hiện Chỉ thị số 53-CT/TW; Kết luận số 222-KL/TW ngày 02/12/2025 của Bộ Chính trị về tiếp tục thực hiện Chỉ thị số 26-CT/TW của Bộ Chính trị về công tác của Tạp chí Cộng sản trong giai đoạn mới. Thực hiện chức năng, nhiệm vụ của Đảng ủy Mặt trận Tổ quốc, các đoàn thể Trung ương trong công tác lãnh đạo, chỉ đạo, định hướng chính trị, tư tưởng và tổ chức thực hiện các chủ trương, đường lối, chính sách của Đảng, Ban Tuyên giáo và Dân vận Đảng ủy </w:t>
      </w:r>
      <w:r w:rsidR="00A87ECE">
        <w:rPr>
          <w:spacing w:val="-4"/>
          <w:sz w:val="28"/>
          <w:szCs w:val="28"/>
        </w:rPr>
        <w:t>đề nghị</w:t>
      </w:r>
      <w:r w:rsidR="00C63679" w:rsidRPr="00D121DE">
        <w:rPr>
          <w:spacing w:val="-4"/>
          <w:sz w:val="28"/>
          <w:szCs w:val="28"/>
        </w:rPr>
        <w:t xml:space="preserve"> các cấp ủy</w:t>
      </w:r>
      <w:r w:rsidR="00A87ECE">
        <w:rPr>
          <w:spacing w:val="-4"/>
          <w:sz w:val="28"/>
          <w:szCs w:val="28"/>
        </w:rPr>
        <w:t xml:space="preserve"> </w:t>
      </w:r>
      <w:r w:rsidR="00C63679" w:rsidRPr="00D121DE">
        <w:rPr>
          <w:spacing w:val="-4"/>
          <w:sz w:val="28"/>
          <w:szCs w:val="28"/>
        </w:rPr>
        <w:t xml:space="preserve">trực thuộc; các cơ quan báo chí trực thuộc Đảng uỷ Mặt trận Tổ quốc, các đoàn thể Trung ương tập trung lãnh đạo, chỉ đạo </w:t>
      </w:r>
      <w:r w:rsidR="00A87ECE">
        <w:rPr>
          <w:spacing w:val="-4"/>
          <w:sz w:val="28"/>
          <w:szCs w:val="28"/>
        </w:rPr>
        <w:t xml:space="preserve">tuyên truyền, </w:t>
      </w:r>
      <w:r w:rsidR="00C63679" w:rsidRPr="00D121DE">
        <w:rPr>
          <w:spacing w:val="-4"/>
          <w:sz w:val="28"/>
          <w:szCs w:val="28"/>
        </w:rPr>
        <w:t>triển khai thực hiện nghiêm túc, đồng bộ, hiệu quả các nội dung sau:</w:t>
      </w:r>
    </w:p>
    <w:p w14:paraId="511579D0" w14:textId="74226D18" w:rsidR="00AA1438" w:rsidRPr="00AA1438" w:rsidRDefault="000826A2" w:rsidP="002E324D">
      <w:pPr>
        <w:spacing w:after="160"/>
        <w:jc w:val="both"/>
        <w:rPr>
          <w:b/>
          <w:bCs/>
          <w:sz w:val="28"/>
          <w:szCs w:val="28"/>
        </w:rPr>
      </w:pPr>
      <w:r>
        <w:rPr>
          <w:sz w:val="28"/>
          <w:szCs w:val="28"/>
        </w:rPr>
        <w:tab/>
      </w:r>
      <w:r w:rsidR="00AA1438" w:rsidRPr="00AA1438">
        <w:rPr>
          <w:b/>
          <w:bCs/>
          <w:sz w:val="28"/>
          <w:szCs w:val="28"/>
        </w:rPr>
        <w:t>1. Tổ chức học tập, quán triệt và tuyên truyền</w:t>
      </w:r>
    </w:p>
    <w:p w14:paraId="3FEF0903" w14:textId="77777777" w:rsidR="00AA1438" w:rsidRPr="00AA1438" w:rsidRDefault="00AA1438" w:rsidP="00AA1438">
      <w:pPr>
        <w:spacing w:after="160"/>
        <w:jc w:val="both"/>
        <w:rPr>
          <w:sz w:val="28"/>
          <w:szCs w:val="28"/>
        </w:rPr>
      </w:pPr>
      <w:r>
        <w:rPr>
          <w:sz w:val="28"/>
          <w:szCs w:val="28"/>
        </w:rPr>
        <w:tab/>
      </w:r>
      <w:r w:rsidRPr="00AA1438">
        <w:rPr>
          <w:sz w:val="28"/>
          <w:szCs w:val="28"/>
        </w:rPr>
        <w:t>Các cấp ủy, tổ chức đảng trực thuộc có trách nhiệm tổ chức nghiên cứu, học tập, quán triệt nghiêm túc, đầy đủ các Chỉ thị, Kết luận của Bộ Chính trị bằng các hình thức phù hợp với đặc điểm, điều kiện của từng cơ quan, đơn vị; bảo đảm toàn thể cán bộ, đảng viên, công chức, viên chức nắm vững mục tiêu, quan điểm chỉ đạo, nội dung cốt lõi và yêu cầu tổ chức thực hiện. Việc quán triệt phải được tiến hành đồng bộ, thực chất, tránh hình thức; gắn với sinh hoạt chi bộ, sinh hoạt chuyên đề, sinh hoạt chính trị định kỳ và các hội nghị, lớp tập huấn theo chuyên đề.</w:t>
      </w:r>
    </w:p>
    <w:p w14:paraId="503999DF" w14:textId="77777777" w:rsidR="00AA1438" w:rsidRPr="00AA1438" w:rsidRDefault="00AA1438" w:rsidP="00AA1438">
      <w:pPr>
        <w:spacing w:after="160"/>
        <w:jc w:val="both"/>
        <w:rPr>
          <w:sz w:val="28"/>
          <w:szCs w:val="28"/>
        </w:rPr>
      </w:pPr>
      <w:r>
        <w:rPr>
          <w:sz w:val="28"/>
          <w:szCs w:val="28"/>
        </w:rPr>
        <w:tab/>
      </w:r>
      <w:r w:rsidRPr="00AA1438">
        <w:rPr>
          <w:sz w:val="28"/>
          <w:szCs w:val="28"/>
        </w:rPr>
        <w:t>Nội dung tuyên truyền tập trung làm rõ ý nghĩa chính trị, pháp lý và thực tiễn của việc tăng cường trách nhiệm giải trình trong hoạt động công vụ; khẳng định đây là yêu cầu tất yếu nhằm nâng cao hiệu lực, hiệu quả quản lý nhà nước, xây dựng nền hành chính chuyên nghiệp, liêm chính, phục vụ Nhân dân, đồng thời là giải pháp quan trọng để phòng, chống tham nhũng, lãng phí, tiêu cực, kiểm soát quyền lực trong thực thi công vụ.</w:t>
      </w:r>
    </w:p>
    <w:p w14:paraId="4CD0DB6C" w14:textId="6AA6DA5C" w:rsidR="00AA1438" w:rsidRPr="00AA1438" w:rsidRDefault="00AA1438" w:rsidP="00AA1438">
      <w:pPr>
        <w:spacing w:after="160"/>
        <w:jc w:val="both"/>
        <w:rPr>
          <w:rFonts w:cs="Times New Roman (Body CS)"/>
          <w:spacing w:val="-6"/>
          <w:sz w:val="28"/>
          <w:szCs w:val="28"/>
        </w:rPr>
      </w:pPr>
      <w:r w:rsidRPr="00BF0A10">
        <w:rPr>
          <w:rFonts w:cs="Times New Roman (Body CS)"/>
          <w:spacing w:val="-6"/>
          <w:sz w:val="28"/>
          <w:szCs w:val="28"/>
        </w:rPr>
        <w:lastRenderedPageBreak/>
        <w:tab/>
      </w:r>
      <w:r w:rsidRPr="00AA1438">
        <w:rPr>
          <w:rFonts w:cs="Times New Roman (Body CS)"/>
          <w:spacing w:val="-6"/>
          <w:sz w:val="28"/>
          <w:szCs w:val="28"/>
        </w:rPr>
        <w:t xml:space="preserve">Đồng thời, chú trọng tuyên truyền sâu sắc vai trò, vị trí của công tác giám định tư pháp và định giá tài sản trong hoạt động tố tụng và quản lý nhà nước; nâng cao nhận thức về yêu cầu khách quan, độc lập, kịp thời, chính xác trong thực hiện nhiệm vụ giám định, định giá; trách nhiệm phối hợp, giám sát của Mặt trận Tổ quốc và các đoàn thể chính trị </w:t>
      </w:r>
      <w:r w:rsidR="00D121DE">
        <w:rPr>
          <w:rFonts w:cs="Times New Roman (Body CS)"/>
          <w:spacing w:val="-6"/>
          <w:sz w:val="28"/>
          <w:szCs w:val="28"/>
        </w:rPr>
        <w:t>-</w:t>
      </w:r>
      <w:r w:rsidRPr="00AA1438">
        <w:rPr>
          <w:rFonts w:cs="Times New Roman (Body CS)"/>
          <w:spacing w:val="-6"/>
          <w:sz w:val="28"/>
          <w:szCs w:val="28"/>
        </w:rPr>
        <w:t xml:space="preserve"> xã hội theo chức năng, nhiệm vụ được giao.</w:t>
      </w:r>
    </w:p>
    <w:p w14:paraId="037EAF28" w14:textId="57AFE384" w:rsidR="00AA1438" w:rsidRPr="00AA1438" w:rsidRDefault="00770007" w:rsidP="00AA1438">
      <w:pPr>
        <w:spacing w:after="160"/>
        <w:jc w:val="both"/>
        <w:rPr>
          <w:sz w:val="28"/>
          <w:szCs w:val="28"/>
        </w:rPr>
      </w:pPr>
      <w:r>
        <w:rPr>
          <w:sz w:val="28"/>
          <w:szCs w:val="28"/>
        </w:rPr>
        <w:tab/>
      </w:r>
      <w:r w:rsidR="00AA1438" w:rsidRPr="00AA1438">
        <w:rPr>
          <w:sz w:val="28"/>
          <w:szCs w:val="28"/>
        </w:rPr>
        <w:t>Các cấp ủy</w:t>
      </w:r>
      <w:r w:rsidR="00A87ECE">
        <w:rPr>
          <w:sz w:val="28"/>
          <w:szCs w:val="28"/>
        </w:rPr>
        <w:t xml:space="preserve"> </w:t>
      </w:r>
      <w:r w:rsidR="00AA1438" w:rsidRPr="00AA1438">
        <w:rPr>
          <w:sz w:val="28"/>
          <w:szCs w:val="28"/>
        </w:rPr>
        <w:t>quán triệt nghiêm việc đọc, nghiên cứu và khai thác hiệu quả Tạp chí Cộng sản; coi đây là kênh thông tin lý luận chính thống, quan trọng trong công tác giáo dục chính trị, tư tưởng, nâng cao trình độ lý luận, tổng kết thực tiễn và tham mưu, đề xuất chủ trương, chính sách. Khuyến khích đưa nội dung nghiên cứu Tạp chí Cộng sản vào sinh hoạt chi bộ, sinh hoạt chuyên đề, gắn với giải quyết những vấn đề thực tiễn đặt ra tại cơ quan, đơn vị.</w:t>
      </w:r>
    </w:p>
    <w:p w14:paraId="2E123ABE" w14:textId="77777777" w:rsidR="00AA1438" w:rsidRPr="00AA1438" w:rsidRDefault="00770007" w:rsidP="00AA1438">
      <w:pPr>
        <w:spacing w:after="160"/>
        <w:jc w:val="both"/>
        <w:rPr>
          <w:rFonts w:cs="Times New Roman (Body CS)"/>
          <w:b/>
          <w:bCs/>
          <w:spacing w:val="-8"/>
          <w:sz w:val="28"/>
          <w:szCs w:val="28"/>
        </w:rPr>
      </w:pPr>
      <w:r w:rsidRPr="00770007">
        <w:rPr>
          <w:rFonts w:cs="Times New Roman (Body CS)"/>
          <w:b/>
          <w:bCs/>
          <w:spacing w:val="-8"/>
          <w:sz w:val="28"/>
          <w:szCs w:val="28"/>
        </w:rPr>
        <w:tab/>
      </w:r>
      <w:r w:rsidR="00AA1438" w:rsidRPr="00AA1438">
        <w:rPr>
          <w:rFonts w:cs="Times New Roman (Body CS)"/>
          <w:b/>
          <w:bCs/>
          <w:spacing w:val="-8"/>
          <w:sz w:val="28"/>
          <w:szCs w:val="28"/>
        </w:rPr>
        <w:t>2. Triển khai thực hiện trách nhiệm giải trình trong hoạt động công vụ</w:t>
      </w:r>
    </w:p>
    <w:p w14:paraId="0C64611F" w14:textId="42156F58" w:rsidR="00AA1438" w:rsidRPr="00AA1438" w:rsidRDefault="00770007" w:rsidP="00AA1438">
      <w:pPr>
        <w:spacing w:after="160"/>
        <w:jc w:val="both"/>
        <w:rPr>
          <w:sz w:val="28"/>
          <w:szCs w:val="28"/>
        </w:rPr>
      </w:pPr>
      <w:r>
        <w:rPr>
          <w:sz w:val="28"/>
          <w:szCs w:val="28"/>
        </w:rPr>
        <w:tab/>
      </w:r>
      <w:r w:rsidR="00AA1438" w:rsidRPr="00AA1438">
        <w:rPr>
          <w:sz w:val="28"/>
          <w:szCs w:val="28"/>
        </w:rPr>
        <w:t>Các cấp ủy</w:t>
      </w:r>
      <w:r w:rsidR="00A87ECE">
        <w:rPr>
          <w:sz w:val="28"/>
          <w:szCs w:val="28"/>
        </w:rPr>
        <w:t xml:space="preserve"> </w:t>
      </w:r>
      <w:r w:rsidR="00AA1438" w:rsidRPr="00AA1438">
        <w:rPr>
          <w:sz w:val="28"/>
          <w:szCs w:val="28"/>
        </w:rPr>
        <w:t>lãnh đạo, chỉ đạo rà soát, bổ sung, hoàn thiện quy chế làm việc, quy trình công tác, quy định nội bộ nhằm cụ thể hóa rõ trách nhiệm giải trình của tập thể, cá nhân, nhất là người đứng đầu; xác định cụ thể nội dung, phạm vi, đối tượng, hình thức, thời hạn và trách nhiệm giải trình, bảo đảm thống nhất, đồng bộ, dễ thực hiện và dễ kiểm tra, giám sát.</w:t>
      </w:r>
    </w:p>
    <w:p w14:paraId="01EE8A6D" w14:textId="77777777" w:rsidR="00AA1438" w:rsidRPr="00AA1438" w:rsidRDefault="00770007" w:rsidP="00AA1438">
      <w:pPr>
        <w:spacing w:after="160"/>
        <w:jc w:val="both"/>
        <w:rPr>
          <w:sz w:val="28"/>
          <w:szCs w:val="28"/>
        </w:rPr>
      </w:pPr>
      <w:r>
        <w:rPr>
          <w:sz w:val="28"/>
          <w:szCs w:val="28"/>
        </w:rPr>
        <w:tab/>
      </w:r>
      <w:r w:rsidR="00AA1438" w:rsidRPr="00AA1438">
        <w:rPr>
          <w:sz w:val="28"/>
          <w:szCs w:val="28"/>
        </w:rPr>
        <w:t>Thực hiện nghiêm nguyên tắc gắn trách nhiệm giải trình với phân công nhiệm vụ, thẩm quyền và trách nhiệm của từng cấp, từng cá nhân; coi kết quả thực hiện trách nhiệm giải trình là tiêu chí quan trọng trong đánh giá mức độ hoàn thành nhiệm vụ, xếp loại tổ chức đảng, đảng viên, cán bộ, công chức, viên chức hằng năm; làm căn cứ trong công tác cán bộ, thi đua, khen thưởng và xem xét trách nhiệm khi để xảy ra sai phạm.</w:t>
      </w:r>
    </w:p>
    <w:p w14:paraId="374138DC" w14:textId="77777777" w:rsidR="00AA1438" w:rsidRPr="00AA1438" w:rsidRDefault="00770007" w:rsidP="00AA1438">
      <w:pPr>
        <w:spacing w:after="160"/>
        <w:jc w:val="both"/>
        <w:rPr>
          <w:sz w:val="28"/>
          <w:szCs w:val="28"/>
        </w:rPr>
      </w:pPr>
      <w:r>
        <w:rPr>
          <w:sz w:val="28"/>
          <w:szCs w:val="28"/>
        </w:rPr>
        <w:tab/>
      </w:r>
      <w:r w:rsidR="00AA1438" w:rsidRPr="00AA1438">
        <w:rPr>
          <w:sz w:val="28"/>
          <w:szCs w:val="28"/>
        </w:rPr>
        <w:t>Đẩy mạnh ứng dụng công nghệ thông tin, chuyển đổi số trong công tác lãnh đạo, chỉ đạo, quản lý, điều hành; từng bước chuẩn hóa, số hóa quy trình tiếp nhận, xử lý yêu cầu giải trình, phản ánh, kiến nghị của tổ chức, cá nhân; bảo đảm công khai, minh bạch, kịp thời, đúng quy định của pháp luật. Chủ động cung cấp thông tin, giải trình rõ ràng đối với những vấn đề phức tạp, nhạy cảm, được dư luận xã hội quan tâm; hạn chế tối đa tình trạng né tránh, đùn đẩy trách nhiệm hoặc giải trình hình thức, chiếu lệ.</w:t>
      </w:r>
    </w:p>
    <w:p w14:paraId="5C2F31C7" w14:textId="77777777" w:rsidR="00AA1438" w:rsidRPr="00D44EE9" w:rsidRDefault="00770007" w:rsidP="00AA1438">
      <w:pPr>
        <w:spacing w:after="160"/>
        <w:jc w:val="both"/>
        <w:rPr>
          <w:b/>
          <w:bCs/>
          <w:spacing w:val="-10"/>
          <w:sz w:val="28"/>
          <w:szCs w:val="28"/>
        </w:rPr>
      </w:pPr>
      <w:r w:rsidRPr="00D44EE9">
        <w:rPr>
          <w:b/>
          <w:bCs/>
          <w:spacing w:val="-10"/>
          <w:sz w:val="28"/>
          <w:szCs w:val="28"/>
        </w:rPr>
        <w:tab/>
      </w:r>
      <w:r w:rsidR="00AA1438" w:rsidRPr="00D44EE9">
        <w:rPr>
          <w:b/>
          <w:bCs/>
          <w:spacing w:val="-10"/>
          <w:sz w:val="28"/>
          <w:szCs w:val="28"/>
        </w:rPr>
        <w:t>3. Tham gia, giám sát việc thực hiện công tác giám định tư pháp, định giá tài sản</w:t>
      </w:r>
    </w:p>
    <w:p w14:paraId="199598AE" w14:textId="08819E53" w:rsidR="00AA1438" w:rsidRPr="00AA1438" w:rsidRDefault="00770007" w:rsidP="00AA1438">
      <w:pPr>
        <w:spacing w:after="160"/>
        <w:jc w:val="both"/>
        <w:rPr>
          <w:sz w:val="28"/>
          <w:szCs w:val="28"/>
        </w:rPr>
      </w:pPr>
      <w:r>
        <w:rPr>
          <w:sz w:val="28"/>
          <w:szCs w:val="28"/>
        </w:rPr>
        <w:tab/>
      </w:r>
      <w:r w:rsidR="00AA1438" w:rsidRPr="00AA1438">
        <w:rPr>
          <w:sz w:val="28"/>
          <w:szCs w:val="28"/>
        </w:rPr>
        <w:t xml:space="preserve">Theo chức năng, nhiệm vụ được giao, các </w:t>
      </w:r>
      <w:r w:rsidR="00A211F5">
        <w:rPr>
          <w:sz w:val="28"/>
          <w:szCs w:val="28"/>
        </w:rPr>
        <w:t>cấp uỷ</w:t>
      </w:r>
      <w:r w:rsidR="00AA1438" w:rsidRPr="00AA1438">
        <w:rPr>
          <w:sz w:val="28"/>
          <w:szCs w:val="28"/>
        </w:rPr>
        <w:t xml:space="preserve"> lãnh đạo và các </w:t>
      </w:r>
      <w:r w:rsidR="00A211F5">
        <w:rPr>
          <w:sz w:val="28"/>
          <w:szCs w:val="28"/>
        </w:rPr>
        <w:t xml:space="preserve">tổ chức </w:t>
      </w:r>
      <w:r w:rsidR="00AA1438" w:rsidRPr="00AA1438">
        <w:rPr>
          <w:sz w:val="28"/>
          <w:szCs w:val="28"/>
        </w:rPr>
        <w:t xml:space="preserve">đoàn thể chính trị </w:t>
      </w:r>
      <w:r w:rsidR="00D121DE">
        <w:rPr>
          <w:sz w:val="28"/>
          <w:szCs w:val="28"/>
        </w:rPr>
        <w:t>-</w:t>
      </w:r>
      <w:r w:rsidR="00AA1438" w:rsidRPr="00AA1438">
        <w:rPr>
          <w:sz w:val="28"/>
          <w:szCs w:val="28"/>
        </w:rPr>
        <w:t xml:space="preserve"> xã hội </w:t>
      </w:r>
      <w:r w:rsidR="00A211F5">
        <w:rPr>
          <w:sz w:val="28"/>
          <w:szCs w:val="28"/>
        </w:rPr>
        <w:t xml:space="preserve">đẩy mạnh công tác tuyên truyền, vận động đảng viên, cán bộ công chức, viên chức, đoàn viên, hội viên </w:t>
      </w:r>
      <w:r w:rsidR="00AA1438" w:rsidRPr="00AA1438">
        <w:rPr>
          <w:sz w:val="28"/>
          <w:szCs w:val="28"/>
        </w:rPr>
        <w:t>tham gia giám sát việc thực hiện công tác giám định tư pháp, định giá tài sản; kịp thời phát hiện, phản ánh, kiến nghị xử lý đối với các biểu hiện vi phạm quy định của pháp luật, thiếu trách nhiệm, chậm trễ, né tránh hoặc có dấu hiệu tiêu cực trong quá trình thực hiện nhiệm vụ.</w:t>
      </w:r>
    </w:p>
    <w:p w14:paraId="1B0F0894" w14:textId="77777777" w:rsidR="00AA1438" w:rsidRPr="00AA1438" w:rsidRDefault="00770007" w:rsidP="00AA1438">
      <w:pPr>
        <w:spacing w:after="160"/>
        <w:jc w:val="both"/>
        <w:rPr>
          <w:sz w:val="28"/>
          <w:szCs w:val="28"/>
        </w:rPr>
      </w:pPr>
      <w:r>
        <w:rPr>
          <w:sz w:val="28"/>
          <w:szCs w:val="28"/>
        </w:rPr>
        <w:lastRenderedPageBreak/>
        <w:tab/>
      </w:r>
      <w:r w:rsidR="00AA1438" w:rsidRPr="00AA1438">
        <w:rPr>
          <w:sz w:val="28"/>
          <w:szCs w:val="28"/>
        </w:rPr>
        <w:t>Tăng cường phối hợp với các cơ quan chuyên môn, cơ quan tiến hành tố tụng và cơ quan có liên quan trong công tác tuyên truyền, vận động đoàn viên, hội viên và Nhân dân tham gia giám sát; tiếp nhận, tổng hợp, phản ánh trung thực, khách quan các ý kiến, kiến nghị chính đáng của Nhân dân liên quan đến hoạt động giám định tư pháp, định giá tài sản, góp phần nâng cao chất lượng, hiệu quả và tính minh bạch của hoạt động này.</w:t>
      </w:r>
    </w:p>
    <w:p w14:paraId="2AC8E68A" w14:textId="17E13333" w:rsidR="00AA1438" w:rsidRPr="00AA1438" w:rsidRDefault="00770007" w:rsidP="00AA1438">
      <w:pPr>
        <w:spacing w:after="160"/>
        <w:jc w:val="both"/>
        <w:rPr>
          <w:sz w:val="28"/>
          <w:szCs w:val="28"/>
        </w:rPr>
      </w:pPr>
      <w:r>
        <w:rPr>
          <w:sz w:val="28"/>
          <w:szCs w:val="28"/>
        </w:rPr>
        <w:tab/>
      </w:r>
      <w:r w:rsidR="00AA1438" w:rsidRPr="00AA1438">
        <w:rPr>
          <w:sz w:val="28"/>
          <w:szCs w:val="28"/>
        </w:rPr>
        <w:t xml:space="preserve">Khuyến khích nghiên cứu, đề xuất các giải pháp ứng dụng khoa học </w:t>
      </w:r>
      <w:r w:rsidR="00C639CC">
        <w:rPr>
          <w:sz w:val="28"/>
          <w:szCs w:val="28"/>
        </w:rPr>
        <w:t>-</w:t>
      </w:r>
      <w:r w:rsidR="00AA1438" w:rsidRPr="00AA1438">
        <w:rPr>
          <w:sz w:val="28"/>
          <w:szCs w:val="28"/>
        </w:rPr>
        <w:t xml:space="preserve"> công nghệ, chuyển đổi số, từng bước tiếp cận việc sử dụng cơ sở dữ liệu, công nghệ mới nhằm hỗ trợ nâng cao chất lượng công tác giám định tư pháp, định giá tài sản, phù hợp với định hướng chung của Đảng và Nhà nước.</w:t>
      </w:r>
    </w:p>
    <w:p w14:paraId="78410EA0" w14:textId="77777777" w:rsidR="00AA1438" w:rsidRPr="00AA1438" w:rsidRDefault="00770007" w:rsidP="00AA1438">
      <w:pPr>
        <w:spacing w:after="160"/>
        <w:jc w:val="both"/>
        <w:rPr>
          <w:b/>
          <w:bCs/>
          <w:sz w:val="28"/>
          <w:szCs w:val="28"/>
        </w:rPr>
      </w:pPr>
      <w:r>
        <w:rPr>
          <w:b/>
          <w:bCs/>
          <w:sz w:val="28"/>
          <w:szCs w:val="28"/>
        </w:rPr>
        <w:tab/>
      </w:r>
      <w:r w:rsidR="00AA1438" w:rsidRPr="00AA1438">
        <w:rPr>
          <w:b/>
          <w:bCs/>
          <w:sz w:val="28"/>
          <w:szCs w:val="28"/>
        </w:rPr>
        <w:t>4. Phối hợp nâng cao hiệu quả công tác của Tạp chí Cộng sản</w:t>
      </w:r>
    </w:p>
    <w:p w14:paraId="72DB0FCD" w14:textId="61A132A1" w:rsidR="00AA1438" w:rsidRPr="00AA1438" w:rsidRDefault="00770007" w:rsidP="00AA1438">
      <w:pPr>
        <w:spacing w:after="160"/>
        <w:jc w:val="both"/>
        <w:rPr>
          <w:sz w:val="28"/>
          <w:szCs w:val="28"/>
        </w:rPr>
      </w:pPr>
      <w:r>
        <w:rPr>
          <w:sz w:val="28"/>
          <w:szCs w:val="28"/>
        </w:rPr>
        <w:tab/>
      </w:r>
      <w:r w:rsidR="00AA1438" w:rsidRPr="00AA1438">
        <w:rPr>
          <w:sz w:val="28"/>
          <w:szCs w:val="28"/>
        </w:rPr>
        <w:t>Các cấp ủy</w:t>
      </w:r>
      <w:r w:rsidR="00A87ECE">
        <w:rPr>
          <w:sz w:val="28"/>
          <w:szCs w:val="28"/>
        </w:rPr>
        <w:t xml:space="preserve"> </w:t>
      </w:r>
      <w:r w:rsidR="00AA1438" w:rsidRPr="00AA1438">
        <w:rPr>
          <w:sz w:val="28"/>
          <w:szCs w:val="28"/>
        </w:rPr>
        <w:t>trực thuộc tiếp tục quán triệt và thực hiện nghiêm việc đọc, nghiên cứu Tạp chí Cộng sản; xác định đây là nhiệm vụ thường xuyên trong công tác xây dựng Đảng về chính trị, tư tưởng, lý luận. Chủ động phối hợp, tạo điều kiện thuận lợi để cán bộ, đảng viên khai thác hiệu quả nội dung của Tạp chí phục vụ công tác lãnh đạo, chỉ đạo và tham mưu.</w:t>
      </w:r>
    </w:p>
    <w:p w14:paraId="58FA1917" w14:textId="77777777" w:rsidR="00AA1438" w:rsidRPr="00AA1438" w:rsidRDefault="00770007" w:rsidP="00AA1438">
      <w:pPr>
        <w:spacing w:after="160"/>
        <w:jc w:val="both"/>
        <w:rPr>
          <w:sz w:val="28"/>
          <w:szCs w:val="28"/>
        </w:rPr>
      </w:pPr>
      <w:r>
        <w:rPr>
          <w:sz w:val="28"/>
          <w:szCs w:val="28"/>
        </w:rPr>
        <w:tab/>
      </w:r>
      <w:r w:rsidR="00AA1438" w:rsidRPr="00AA1438">
        <w:rPr>
          <w:sz w:val="28"/>
          <w:szCs w:val="28"/>
        </w:rPr>
        <w:t>Khuyến khích cán bộ, đảng viên, nhất là cán bộ làm công tác xây dựng Đảng, tuyên giáo, dân vận, báo chí, nghiên cứu, tích cực nghiên cứu, trao đổi, vận dụng các bài viết lý luận, tổng kết thực tiễn đăng tải trên Tạp chí Cộng sản vào giải quyết các vấn đề thực tiễn của cơ quan, đơn vị; từng bước nâng cao chất lượng tham mưu, đề xuất chủ trương, chính sách, góp phần củng cố nền tảng tư tưởng của Đảng trong tình hình mới.</w:t>
      </w:r>
    </w:p>
    <w:p w14:paraId="727DB998" w14:textId="523DEC5C" w:rsidR="00C7052F" w:rsidRDefault="000826A2" w:rsidP="002E324D">
      <w:pPr>
        <w:spacing w:after="160"/>
        <w:jc w:val="both"/>
        <w:rPr>
          <w:sz w:val="28"/>
          <w:szCs w:val="28"/>
        </w:rPr>
      </w:pPr>
      <w:r w:rsidRPr="00936027">
        <w:rPr>
          <w:spacing w:val="-16"/>
          <w:sz w:val="28"/>
          <w:szCs w:val="28"/>
        </w:rPr>
        <w:tab/>
      </w:r>
      <w:r w:rsidR="00936027" w:rsidRPr="00397AEA">
        <w:rPr>
          <w:sz w:val="28"/>
          <w:szCs w:val="28"/>
        </w:rPr>
        <w:t>Các cấp uỷ</w:t>
      </w:r>
      <w:r w:rsidR="00397AEA" w:rsidRPr="00397AEA">
        <w:rPr>
          <w:sz w:val="28"/>
          <w:szCs w:val="28"/>
        </w:rPr>
        <w:t xml:space="preserve"> </w:t>
      </w:r>
      <w:r w:rsidR="00936027" w:rsidRPr="00397AEA">
        <w:rPr>
          <w:sz w:val="28"/>
          <w:szCs w:val="28"/>
        </w:rPr>
        <w:t>trực thuộc; các cơ quan báo chí thuộc Đảng uỷ, Mặt trận Tổ quốc</w:t>
      </w:r>
      <w:r w:rsidR="00C639CC" w:rsidRPr="00397AEA">
        <w:rPr>
          <w:sz w:val="28"/>
          <w:szCs w:val="28"/>
        </w:rPr>
        <w:t>,</w:t>
      </w:r>
      <w:r w:rsidR="00936027" w:rsidRPr="00397AEA">
        <w:rPr>
          <w:sz w:val="28"/>
          <w:szCs w:val="28"/>
        </w:rPr>
        <w:t xml:space="preserve"> các đoàn thể Trung ương truy cập đường dẫn sau để tải các văn bản chỉ đạo của Trung ương:</w:t>
      </w:r>
      <w:r w:rsidR="00936027">
        <w:rPr>
          <w:sz w:val="28"/>
          <w:szCs w:val="28"/>
        </w:rPr>
        <w:t xml:space="preserve"> </w:t>
      </w:r>
      <w:hyperlink r:id="rId8" w:history="1">
        <w:r w:rsidR="00DC7A68" w:rsidRPr="009A7395">
          <w:rPr>
            <w:rStyle w:val="Hyperlink"/>
            <w:sz w:val="28"/>
            <w:szCs w:val="28"/>
          </w:rPr>
          <w:t>https://drive.google.com/drive/folders/12pTW7ZOamFO2M60GxRLAicm6-xIVqoRo?usp=sharing</w:t>
        </w:r>
      </w:hyperlink>
      <w:r w:rsidR="00C7052F">
        <w:rPr>
          <w:sz w:val="28"/>
          <w:szCs w:val="28"/>
        </w:rPr>
        <w:t xml:space="preserve"> </w:t>
      </w:r>
      <w:r w:rsidR="00936027">
        <w:rPr>
          <w:sz w:val="28"/>
          <w:szCs w:val="28"/>
        </w:rPr>
        <w:t>.</w:t>
      </w:r>
    </w:p>
    <w:p w14:paraId="752F76BC" w14:textId="0DF68E00" w:rsidR="006D7F77" w:rsidRDefault="00BF0A10" w:rsidP="00C7052F">
      <w:pPr>
        <w:spacing w:after="160"/>
        <w:ind w:firstLine="720"/>
        <w:jc w:val="both"/>
        <w:rPr>
          <w:sz w:val="28"/>
          <w:szCs w:val="28"/>
        </w:rPr>
      </w:pPr>
      <w:r w:rsidRPr="000826A2">
        <w:rPr>
          <w:sz w:val="28"/>
          <w:szCs w:val="28"/>
        </w:rPr>
        <w:t xml:space="preserve">Ban </w:t>
      </w:r>
      <w:r>
        <w:rPr>
          <w:sz w:val="28"/>
          <w:szCs w:val="28"/>
        </w:rPr>
        <w:t>Tuyên giáo và Dân vận</w:t>
      </w:r>
      <w:r w:rsidRPr="000826A2">
        <w:rPr>
          <w:sz w:val="28"/>
          <w:szCs w:val="28"/>
        </w:rPr>
        <w:t xml:space="preserve"> Đảng ủy </w:t>
      </w:r>
      <w:r w:rsidR="00A87ECE">
        <w:rPr>
          <w:sz w:val="28"/>
          <w:szCs w:val="28"/>
        </w:rPr>
        <w:t xml:space="preserve">trân trọng </w:t>
      </w:r>
      <w:r w:rsidR="00C7052F">
        <w:rPr>
          <w:sz w:val="28"/>
          <w:szCs w:val="28"/>
        </w:rPr>
        <w:t>đề nghị</w:t>
      </w:r>
      <w:r w:rsidRPr="000826A2">
        <w:rPr>
          <w:sz w:val="28"/>
          <w:szCs w:val="28"/>
        </w:rPr>
        <w:t xml:space="preserve"> các cấp ủy trực thuộc</w:t>
      </w:r>
      <w:r w:rsidR="00D121DE">
        <w:rPr>
          <w:sz w:val="28"/>
          <w:szCs w:val="28"/>
        </w:rPr>
        <w:t xml:space="preserve">; các cơ quan báo chí trực thuộc Đảng uỷ </w:t>
      </w:r>
      <w:r w:rsidR="00D121DE" w:rsidRPr="00D121DE">
        <w:rPr>
          <w:sz w:val="28"/>
          <w:szCs w:val="28"/>
        </w:rPr>
        <w:t>Mặt trận Tổ quốc</w:t>
      </w:r>
      <w:r w:rsidR="00C639CC">
        <w:rPr>
          <w:sz w:val="28"/>
          <w:szCs w:val="28"/>
        </w:rPr>
        <w:t xml:space="preserve">, </w:t>
      </w:r>
      <w:r w:rsidR="00D121DE" w:rsidRPr="00D121DE">
        <w:rPr>
          <w:sz w:val="28"/>
          <w:szCs w:val="28"/>
        </w:rPr>
        <w:t>các đoàn thể Trung ương</w:t>
      </w:r>
      <w:r w:rsidR="00D121DE" w:rsidRPr="00936027">
        <w:rPr>
          <w:spacing w:val="-16"/>
          <w:sz w:val="28"/>
          <w:szCs w:val="28"/>
        </w:rPr>
        <w:t xml:space="preserve"> </w:t>
      </w:r>
      <w:r w:rsidRPr="000826A2">
        <w:rPr>
          <w:sz w:val="28"/>
          <w:szCs w:val="28"/>
        </w:rPr>
        <w:t>nghiêm túc triển khai thực hiện.</w:t>
      </w:r>
      <w:r w:rsidR="00CE2252">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38"/>
      </w:tblGrid>
      <w:tr w:rsidR="00BF0A10" w14:paraId="58DBF419" w14:textId="77777777" w:rsidTr="002E324D">
        <w:tc>
          <w:tcPr>
            <w:tcW w:w="4528" w:type="dxa"/>
          </w:tcPr>
          <w:p w14:paraId="38EAF8BE" w14:textId="77777777" w:rsidR="00CE2252" w:rsidRPr="00CE2252" w:rsidRDefault="00BF0A10" w:rsidP="00CE2252">
            <w:pPr>
              <w:rPr>
                <w:sz w:val="24"/>
                <w:szCs w:val="24"/>
              </w:rPr>
            </w:pPr>
            <w:r w:rsidRPr="00CE2252">
              <w:rPr>
                <w:sz w:val="28"/>
                <w:szCs w:val="28"/>
                <w:u w:val="single"/>
              </w:rPr>
              <w:t>Nơi nhận:</w:t>
            </w:r>
            <w:r>
              <w:br/>
            </w:r>
            <w:r w:rsidRPr="00CE2252">
              <w:rPr>
                <w:sz w:val="24"/>
                <w:szCs w:val="24"/>
              </w:rPr>
              <w:t xml:space="preserve">- Như </w:t>
            </w:r>
            <w:r w:rsidR="00CE2252" w:rsidRPr="00CE2252">
              <w:rPr>
                <w:sz w:val="24"/>
                <w:szCs w:val="24"/>
              </w:rPr>
              <w:t>trên,</w:t>
            </w:r>
          </w:p>
          <w:p w14:paraId="0046D70E" w14:textId="77777777" w:rsidR="003D5027" w:rsidRDefault="00CE2252" w:rsidP="00CE2252">
            <w:pPr>
              <w:rPr>
                <w:sz w:val="24"/>
                <w:szCs w:val="24"/>
              </w:rPr>
            </w:pPr>
            <w:r w:rsidRPr="00CE2252">
              <w:rPr>
                <w:sz w:val="24"/>
                <w:szCs w:val="24"/>
              </w:rPr>
              <w:t>- Thường trực Đảng ủy (để b/c),</w:t>
            </w:r>
          </w:p>
          <w:p w14:paraId="7E3A9F55" w14:textId="77777777" w:rsidR="003D5027" w:rsidRPr="00AB250E" w:rsidRDefault="003D5027" w:rsidP="00CE2252">
            <w:pPr>
              <w:rPr>
                <w:sz w:val="24"/>
                <w:szCs w:val="24"/>
                <w:lang w:val="pt-BR"/>
              </w:rPr>
            </w:pPr>
            <w:r w:rsidRPr="00AB250E">
              <w:rPr>
                <w:sz w:val="24"/>
                <w:szCs w:val="24"/>
                <w:lang w:val="pt-BR"/>
              </w:rPr>
              <w:t>- UBKT ĐU (để p/h),</w:t>
            </w:r>
          </w:p>
          <w:p w14:paraId="295560F9" w14:textId="3EA07BE4" w:rsidR="00BF0A10" w:rsidRPr="00AB250E" w:rsidRDefault="003D5027" w:rsidP="00CE2252">
            <w:pPr>
              <w:rPr>
                <w:sz w:val="24"/>
                <w:szCs w:val="24"/>
                <w:lang w:val="pt-BR"/>
              </w:rPr>
            </w:pPr>
            <w:r w:rsidRPr="00AB250E">
              <w:rPr>
                <w:sz w:val="24"/>
                <w:szCs w:val="24"/>
                <w:lang w:val="pt-BR"/>
              </w:rPr>
              <w:t>- Tạp chí Cộng sản (để p/h),</w:t>
            </w:r>
            <w:r w:rsidR="00BF0A10" w:rsidRPr="00AB250E">
              <w:rPr>
                <w:sz w:val="24"/>
                <w:szCs w:val="24"/>
                <w:lang w:val="pt-BR"/>
              </w:rPr>
              <w:br/>
              <w:t xml:space="preserve">- Lưu: </w:t>
            </w:r>
            <w:r w:rsidR="00CE2252" w:rsidRPr="00AB250E">
              <w:rPr>
                <w:sz w:val="24"/>
                <w:szCs w:val="24"/>
                <w:lang w:val="pt-BR"/>
              </w:rPr>
              <w:t>Ban TG&amp;DV</w:t>
            </w:r>
            <w:r w:rsidR="00BF0A10" w:rsidRPr="00AB250E">
              <w:rPr>
                <w:sz w:val="24"/>
                <w:szCs w:val="24"/>
                <w:lang w:val="pt-BR"/>
              </w:rPr>
              <w:t>.</w:t>
            </w:r>
          </w:p>
          <w:p w14:paraId="4B760307" w14:textId="77777777" w:rsidR="00BF0A10" w:rsidRPr="00AB250E" w:rsidRDefault="00BF0A10" w:rsidP="000826A2">
            <w:pPr>
              <w:spacing w:after="160"/>
              <w:jc w:val="both"/>
              <w:rPr>
                <w:sz w:val="28"/>
                <w:szCs w:val="28"/>
                <w:lang w:val="pt-BR"/>
              </w:rPr>
            </w:pPr>
          </w:p>
        </w:tc>
        <w:tc>
          <w:tcPr>
            <w:tcW w:w="4538" w:type="dxa"/>
          </w:tcPr>
          <w:p w14:paraId="095F03D4" w14:textId="77777777" w:rsidR="00BF0A10" w:rsidRDefault="00CE2252" w:rsidP="00CE2252">
            <w:pPr>
              <w:spacing w:after="160"/>
              <w:jc w:val="center"/>
              <w:rPr>
                <w:b/>
                <w:bCs/>
                <w:sz w:val="28"/>
                <w:szCs w:val="28"/>
              </w:rPr>
            </w:pPr>
            <w:r w:rsidRPr="00CE2252">
              <w:rPr>
                <w:b/>
                <w:bCs/>
                <w:sz w:val="28"/>
                <w:szCs w:val="28"/>
              </w:rPr>
              <w:t>TRƯỞNG BAN</w:t>
            </w:r>
          </w:p>
          <w:p w14:paraId="1D229F27" w14:textId="77777777" w:rsidR="00CE2252" w:rsidRDefault="00CE2252" w:rsidP="00CE2252">
            <w:pPr>
              <w:spacing w:after="160"/>
              <w:jc w:val="center"/>
              <w:rPr>
                <w:b/>
                <w:bCs/>
                <w:sz w:val="28"/>
                <w:szCs w:val="28"/>
              </w:rPr>
            </w:pPr>
          </w:p>
          <w:p w14:paraId="54406B6A" w14:textId="58A49B82" w:rsidR="00CE2252" w:rsidRPr="00DA69B0" w:rsidRDefault="00DA69B0" w:rsidP="00CE2252">
            <w:pPr>
              <w:spacing w:after="160"/>
              <w:jc w:val="center"/>
              <w:rPr>
                <w:i/>
                <w:iCs/>
                <w:sz w:val="28"/>
                <w:szCs w:val="28"/>
              </w:rPr>
            </w:pPr>
            <w:r w:rsidRPr="00DA69B0">
              <w:rPr>
                <w:i/>
                <w:iCs/>
                <w:sz w:val="28"/>
                <w:szCs w:val="28"/>
              </w:rPr>
              <w:t>Đã ký</w:t>
            </w:r>
          </w:p>
          <w:p w14:paraId="461BF370" w14:textId="77777777" w:rsidR="00CE2252" w:rsidRDefault="00CE2252" w:rsidP="00CE2252">
            <w:pPr>
              <w:spacing w:after="160"/>
              <w:jc w:val="center"/>
              <w:rPr>
                <w:b/>
                <w:bCs/>
                <w:sz w:val="28"/>
                <w:szCs w:val="28"/>
              </w:rPr>
            </w:pPr>
          </w:p>
          <w:p w14:paraId="3956FAB0" w14:textId="77777777" w:rsidR="00CE2252" w:rsidRPr="00CE2252" w:rsidRDefault="00CE2252" w:rsidP="00CE2252">
            <w:pPr>
              <w:spacing w:after="160"/>
              <w:jc w:val="center"/>
              <w:rPr>
                <w:b/>
                <w:bCs/>
                <w:sz w:val="28"/>
                <w:szCs w:val="28"/>
              </w:rPr>
            </w:pPr>
            <w:r>
              <w:rPr>
                <w:b/>
                <w:bCs/>
                <w:sz w:val="28"/>
                <w:szCs w:val="28"/>
              </w:rPr>
              <w:t>Nguyễn Minh Chung</w:t>
            </w:r>
          </w:p>
        </w:tc>
      </w:tr>
    </w:tbl>
    <w:p w14:paraId="09304BD6" w14:textId="77777777" w:rsidR="006D7F77" w:rsidRDefault="006D7F77">
      <w:pPr>
        <w:spacing w:after="120"/>
      </w:pPr>
    </w:p>
    <w:sectPr w:rsidR="006D7F77" w:rsidSect="00D121DE">
      <w:headerReference w:type="even" r:id="rId9"/>
      <w:headerReference w:type="default" r:id="rId10"/>
      <w:pgSz w:w="11901" w:h="16840"/>
      <w:pgMar w:top="851" w:right="737" w:bottom="73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4EB8" w14:textId="77777777" w:rsidR="001C0144" w:rsidRDefault="001C0144" w:rsidP="00AB05D7">
      <w:pPr>
        <w:spacing w:after="0" w:line="240" w:lineRule="auto"/>
      </w:pPr>
      <w:r>
        <w:separator/>
      </w:r>
    </w:p>
  </w:endnote>
  <w:endnote w:type="continuationSeparator" w:id="0">
    <w:p w14:paraId="4C66324F" w14:textId="77777777" w:rsidR="001C0144" w:rsidRDefault="001C0144" w:rsidP="00AB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Times New Roman (Body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52273" w14:textId="77777777" w:rsidR="001C0144" w:rsidRDefault="001C0144" w:rsidP="00AB05D7">
      <w:pPr>
        <w:spacing w:after="0" w:line="240" w:lineRule="auto"/>
      </w:pPr>
      <w:r>
        <w:separator/>
      </w:r>
    </w:p>
  </w:footnote>
  <w:footnote w:type="continuationSeparator" w:id="0">
    <w:p w14:paraId="1A789609" w14:textId="77777777" w:rsidR="001C0144" w:rsidRDefault="001C0144" w:rsidP="00AB0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6089641"/>
      <w:docPartObj>
        <w:docPartGallery w:val="Page Numbers (Top of Page)"/>
        <w:docPartUnique/>
      </w:docPartObj>
    </w:sdtPr>
    <w:sdtContent>
      <w:p w14:paraId="3F5F3C03" w14:textId="22CB5142" w:rsidR="00AB05D7" w:rsidRDefault="00AB05D7" w:rsidP="00AB05D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D5027">
          <w:rPr>
            <w:rStyle w:val="PageNumber"/>
            <w:noProof/>
          </w:rPr>
          <w:t>2</w:t>
        </w:r>
        <w:r>
          <w:rPr>
            <w:rStyle w:val="PageNumber"/>
          </w:rPr>
          <w:fldChar w:fldCharType="end"/>
        </w:r>
      </w:p>
    </w:sdtContent>
  </w:sdt>
  <w:p w14:paraId="438E0885" w14:textId="77777777" w:rsidR="00AB05D7" w:rsidRDefault="00AB05D7" w:rsidP="00AB05D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795927"/>
      <w:docPartObj>
        <w:docPartGallery w:val="Page Numbers (Top of Page)"/>
        <w:docPartUnique/>
      </w:docPartObj>
    </w:sdtPr>
    <w:sdtEndPr>
      <w:rPr>
        <w:noProof/>
      </w:rPr>
    </w:sdtEndPr>
    <w:sdtContent>
      <w:p w14:paraId="73B2C816" w14:textId="3D12D5EC" w:rsidR="003D5027" w:rsidRDefault="003D502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2233FB0" w14:textId="77777777" w:rsidR="00AB05D7" w:rsidRDefault="00AB05D7" w:rsidP="00AB05D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8860094">
    <w:abstractNumId w:val="8"/>
  </w:num>
  <w:num w:numId="2" w16cid:durableId="423113863">
    <w:abstractNumId w:val="6"/>
  </w:num>
  <w:num w:numId="3" w16cid:durableId="1078867395">
    <w:abstractNumId w:val="5"/>
  </w:num>
  <w:num w:numId="4" w16cid:durableId="422149591">
    <w:abstractNumId w:val="4"/>
  </w:num>
  <w:num w:numId="5" w16cid:durableId="410583901">
    <w:abstractNumId w:val="7"/>
  </w:num>
  <w:num w:numId="6" w16cid:durableId="738478700">
    <w:abstractNumId w:val="3"/>
  </w:num>
  <w:num w:numId="7" w16cid:durableId="734468931">
    <w:abstractNumId w:val="2"/>
  </w:num>
  <w:num w:numId="8" w16cid:durableId="1297881337">
    <w:abstractNumId w:val="1"/>
  </w:num>
  <w:num w:numId="9" w16cid:durableId="43760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26A2"/>
    <w:rsid w:val="0015074B"/>
    <w:rsid w:val="001C0144"/>
    <w:rsid w:val="002064D6"/>
    <w:rsid w:val="0029639D"/>
    <w:rsid w:val="002E324D"/>
    <w:rsid w:val="00307438"/>
    <w:rsid w:val="00311C22"/>
    <w:rsid w:val="00326F90"/>
    <w:rsid w:val="00397AEA"/>
    <w:rsid w:val="003D5027"/>
    <w:rsid w:val="00502209"/>
    <w:rsid w:val="00582195"/>
    <w:rsid w:val="006D7F77"/>
    <w:rsid w:val="00770007"/>
    <w:rsid w:val="008611C8"/>
    <w:rsid w:val="00915ECD"/>
    <w:rsid w:val="00936027"/>
    <w:rsid w:val="0094791E"/>
    <w:rsid w:val="00A211F5"/>
    <w:rsid w:val="00A87ECE"/>
    <w:rsid w:val="00AA1438"/>
    <w:rsid w:val="00AA1D8D"/>
    <w:rsid w:val="00AA786F"/>
    <w:rsid w:val="00AB05D7"/>
    <w:rsid w:val="00AB250E"/>
    <w:rsid w:val="00B47730"/>
    <w:rsid w:val="00BF0A10"/>
    <w:rsid w:val="00C63679"/>
    <w:rsid w:val="00C639CC"/>
    <w:rsid w:val="00C7052F"/>
    <w:rsid w:val="00CB0664"/>
    <w:rsid w:val="00CE2252"/>
    <w:rsid w:val="00D121DE"/>
    <w:rsid w:val="00D44EE9"/>
    <w:rsid w:val="00D47733"/>
    <w:rsid w:val="00DA69B0"/>
    <w:rsid w:val="00DC7A68"/>
    <w:rsid w:val="00F30F50"/>
    <w:rsid w:val="00FC693F"/>
    <w:rsid w:val="00FC6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A75AA"/>
  <w14:defaultImageDpi w14:val="300"/>
  <w15:docId w15:val="{023F3723-4DE8-894B-BF82-C0842321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AB05D7"/>
  </w:style>
  <w:style w:type="paragraph" w:styleId="FootnoteText">
    <w:name w:val="footnote text"/>
    <w:basedOn w:val="Normal"/>
    <w:link w:val="FootnoteTextChar"/>
    <w:uiPriority w:val="99"/>
    <w:semiHidden/>
    <w:unhideWhenUsed/>
    <w:rsid w:val="009479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791E"/>
    <w:rPr>
      <w:rFonts w:ascii="Times New Roman" w:hAnsi="Times New Roman"/>
      <w:sz w:val="20"/>
      <w:szCs w:val="20"/>
    </w:rPr>
  </w:style>
  <w:style w:type="character" w:styleId="FootnoteReference">
    <w:name w:val="footnote reference"/>
    <w:basedOn w:val="DefaultParagraphFont"/>
    <w:uiPriority w:val="99"/>
    <w:semiHidden/>
    <w:unhideWhenUsed/>
    <w:rsid w:val="0094791E"/>
    <w:rPr>
      <w:vertAlign w:val="superscript"/>
    </w:rPr>
  </w:style>
  <w:style w:type="character" w:styleId="Hyperlink">
    <w:name w:val="Hyperlink"/>
    <w:basedOn w:val="DefaultParagraphFont"/>
    <w:uiPriority w:val="99"/>
    <w:unhideWhenUsed/>
    <w:rsid w:val="00C7052F"/>
    <w:rPr>
      <w:color w:val="0000FF" w:themeColor="hyperlink"/>
      <w:u w:val="single"/>
    </w:rPr>
  </w:style>
  <w:style w:type="character" w:styleId="UnresolvedMention">
    <w:name w:val="Unresolved Mention"/>
    <w:basedOn w:val="DefaultParagraphFont"/>
    <w:uiPriority w:val="99"/>
    <w:semiHidden/>
    <w:unhideWhenUsed/>
    <w:rsid w:val="00C70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643449">
      <w:bodyDiv w:val="1"/>
      <w:marLeft w:val="0"/>
      <w:marRight w:val="0"/>
      <w:marTop w:val="0"/>
      <w:marBottom w:val="0"/>
      <w:divBdr>
        <w:top w:val="none" w:sz="0" w:space="0" w:color="auto"/>
        <w:left w:val="none" w:sz="0" w:space="0" w:color="auto"/>
        <w:bottom w:val="none" w:sz="0" w:space="0" w:color="auto"/>
        <w:right w:val="none" w:sz="0" w:space="0" w:color="auto"/>
      </w:divBdr>
    </w:div>
    <w:div w:id="2008290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2pTW7ZOamFO2M60GxRLAicm6-xIVqoRo?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Tien Dong Sy</cp:lastModifiedBy>
  <cp:revision>7</cp:revision>
  <cp:lastPrinted>2025-12-19T02:36:00Z</cp:lastPrinted>
  <dcterms:created xsi:type="dcterms:W3CDTF">2025-12-15T10:27:00Z</dcterms:created>
  <dcterms:modified xsi:type="dcterms:W3CDTF">2025-12-19T10:22:00Z</dcterms:modified>
  <cp:category/>
</cp:coreProperties>
</file>