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5"/>
        <w:gridCol w:w="4502"/>
      </w:tblGrid>
      <w:tr w:rsidR="000826A2" w14:paraId="3623B0FA" w14:textId="77777777" w:rsidTr="00624760">
        <w:tc>
          <w:tcPr>
            <w:tcW w:w="4985" w:type="dxa"/>
          </w:tcPr>
          <w:p w14:paraId="5F1F94CC" w14:textId="77777777" w:rsidR="000826A2" w:rsidRPr="000826A2" w:rsidRDefault="000826A2" w:rsidP="000826A2">
            <w:pPr>
              <w:jc w:val="center"/>
              <w:rPr>
                <w:bCs/>
              </w:rPr>
            </w:pPr>
            <w:r w:rsidRPr="000826A2">
              <w:rPr>
                <w:bCs/>
              </w:rPr>
              <w:t>ĐẢNG ỦY MẶT TRẬN TỔ QUỐC,</w:t>
            </w:r>
            <w:r w:rsidRPr="000826A2">
              <w:rPr>
                <w:bCs/>
              </w:rPr>
              <w:br/>
              <w:t>CÁC ĐOÀN THỂ TRUNG ƯƠNG</w:t>
            </w:r>
          </w:p>
          <w:p w14:paraId="599C3066" w14:textId="77777777" w:rsidR="000826A2" w:rsidRDefault="000826A2" w:rsidP="000826A2">
            <w:pPr>
              <w:jc w:val="center"/>
              <w:rPr>
                <w:b/>
              </w:rPr>
            </w:pPr>
            <w:r>
              <w:rPr>
                <w:b/>
              </w:rPr>
              <w:t>BAN TUYÊN GIÁO VÀ DÂN VẬN</w:t>
            </w:r>
          </w:p>
          <w:p w14:paraId="57F98E2C" w14:textId="77777777" w:rsidR="000826A2" w:rsidRDefault="00BF0A10" w:rsidP="000826A2">
            <w:pPr>
              <w:jc w:val="center"/>
              <w:rPr>
                <w:b/>
              </w:rPr>
            </w:pPr>
            <w:r>
              <w:rPr>
                <w:b/>
              </w:rPr>
              <w:t>*</w:t>
            </w:r>
          </w:p>
          <w:p w14:paraId="1BD01503" w14:textId="385DCB0C" w:rsidR="000826A2" w:rsidRDefault="000826A2" w:rsidP="000826A2">
            <w:pPr>
              <w:jc w:val="center"/>
            </w:pPr>
            <w:r>
              <w:t xml:space="preserve">Số </w:t>
            </w:r>
            <w:r w:rsidR="00502209">
              <w:t xml:space="preserve">       </w:t>
            </w:r>
            <w:r>
              <w:t>-CV/</w:t>
            </w:r>
            <w:r w:rsidR="00BF0A10">
              <w:t>BTG&amp;DV</w:t>
            </w:r>
          </w:p>
          <w:p w14:paraId="07A2DDFF" w14:textId="77777777" w:rsidR="000826A2" w:rsidRDefault="00CE5378" w:rsidP="000826A2">
            <w:pPr>
              <w:jc w:val="center"/>
              <w:rPr>
                <w:bCs/>
                <w:i/>
                <w:iCs/>
                <w:sz w:val="24"/>
                <w:szCs w:val="24"/>
              </w:rPr>
            </w:pPr>
            <w:r w:rsidRPr="00CE5378">
              <w:rPr>
                <w:bCs/>
                <w:i/>
                <w:iCs/>
                <w:sz w:val="24"/>
                <w:szCs w:val="24"/>
              </w:rPr>
              <w:t>V/v triển khai thực hiện một số văn bản của Ban Tuyên giáo và Dân vận Trung ương</w:t>
            </w:r>
          </w:p>
          <w:p w14:paraId="02BA5E6A" w14:textId="3A4007F6" w:rsidR="00CE5378" w:rsidRDefault="00CE5378" w:rsidP="000826A2">
            <w:pPr>
              <w:jc w:val="center"/>
              <w:rPr>
                <w:b/>
              </w:rPr>
            </w:pPr>
          </w:p>
        </w:tc>
        <w:tc>
          <w:tcPr>
            <w:tcW w:w="4502" w:type="dxa"/>
          </w:tcPr>
          <w:p w14:paraId="42C4A7E7" w14:textId="77777777" w:rsidR="000826A2" w:rsidRDefault="000826A2" w:rsidP="000826A2">
            <w:pPr>
              <w:jc w:val="center"/>
              <w:rPr>
                <w:b/>
                <w:sz w:val="30"/>
                <w:szCs w:val="30"/>
              </w:rPr>
            </w:pPr>
            <w:r w:rsidRPr="00BF0A10">
              <w:rPr>
                <w:b/>
                <w:sz w:val="30"/>
                <w:szCs w:val="30"/>
              </w:rPr>
              <w:t>ĐẢNG CỘNG SẢN VIỆT NAM</w:t>
            </w:r>
          </w:p>
          <w:p w14:paraId="0D6A26E2" w14:textId="77777777" w:rsidR="00BF0A10" w:rsidRPr="00BF0A10" w:rsidRDefault="00CB1871" w:rsidP="000826A2">
            <w:pPr>
              <w:jc w:val="center"/>
              <w:rPr>
                <w:sz w:val="30"/>
                <w:szCs w:val="30"/>
              </w:rPr>
            </w:pPr>
            <w:r>
              <w:rPr>
                <w:noProof/>
                <w:sz w:val="30"/>
                <w:szCs w:val="30"/>
              </w:rPr>
              <mc:AlternateContent>
                <mc:Choice Requires="wps">
                  <w:drawing>
                    <wp:anchor distT="0" distB="0" distL="114300" distR="114300" simplePos="0" relativeHeight="251659264" behindDoc="0" locked="0" layoutInCell="1" allowOverlap="1" wp14:anchorId="7DAAF90A" wp14:editId="2320FE0E">
                      <wp:simplePos x="0" y="0"/>
                      <wp:positionH relativeFrom="column">
                        <wp:posOffset>50616</wp:posOffset>
                      </wp:positionH>
                      <wp:positionV relativeFrom="paragraph">
                        <wp:posOffset>22225</wp:posOffset>
                      </wp:positionV>
                      <wp:extent cx="2637011" cy="0"/>
                      <wp:effectExtent l="0" t="0" r="17780" b="12700"/>
                      <wp:wrapNone/>
                      <wp:docPr id="1263462123" name="Straight Connector 1"/>
                      <wp:cNvGraphicFramePr/>
                      <a:graphic xmlns:a="http://schemas.openxmlformats.org/drawingml/2006/main">
                        <a:graphicData uri="http://schemas.microsoft.com/office/word/2010/wordprocessingShape">
                          <wps:wsp>
                            <wps:cNvCnPr/>
                            <wps:spPr>
                              <a:xfrm>
                                <a:off x="0" y="0"/>
                                <a:ext cx="2637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B9C2D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1.75pt" to="211.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" strokecolor="black [3040]"/>
                  </w:pict>
                </mc:Fallback>
              </mc:AlternateContent>
            </w:r>
          </w:p>
          <w:p w14:paraId="3C626E0A" w14:textId="167703A2" w:rsidR="000826A2" w:rsidRPr="00BF0A10" w:rsidRDefault="000826A2" w:rsidP="000826A2">
            <w:pPr>
              <w:jc w:val="center"/>
              <w:rPr>
                <w:i/>
                <w:iCs/>
                <w:sz w:val="28"/>
                <w:szCs w:val="28"/>
              </w:rPr>
            </w:pPr>
            <w:r w:rsidRPr="00BF0A10">
              <w:rPr>
                <w:i/>
                <w:iCs/>
                <w:sz w:val="28"/>
                <w:szCs w:val="28"/>
              </w:rPr>
              <w:t xml:space="preserve">Hà Nội, ngày </w:t>
            </w:r>
            <w:r w:rsidR="00502209">
              <w:rPr>
                <w:i/>
                <w:iCs/>
                <w:sz w:val="28"/>
                <w:szCs w:val="28"/>
              </w:rPr>
              <w:t xml:space="preserve">   </w:t>
            </w:r>
            <w:r w:rsidRPr="00BF0A10">
              <w:rPr>
                <w:i/>
                <w:iCs/>
                <w:sz w:val="28"/>
                <w:szCs w:val="28"/>
              </w:rPr>
              <w:t xml:space="preserve"> tháng </w:t>
            </w:r>
            <w:r w:rsidR="00CE5378">
              <w:rPr>
                <w:i/>
                <w:iCs/>
                <w:sz w:val="28"/>
                <w:szCs w:val="28"/>
              </w:rPr>
              <w:t>4</w:t>
            </w:r>
            <w:r w:rsidRPr="00BF0A10">
              <w:rPr>
                <w:i/>
                <w:iCs/>
                <w:sz w:val="28"/>
                <w:szCs w:val="28"/>
              </w:rPr>
              <w:t xml:space="preserve"> năm 202</w:t>
            </w:r>
            <w:r w:rsidR="00CB1871">
              <w:rPr>
                <w:i/>
                <w:iCs/>
                <w:sz w:val="28"/>
                <w:szCs w:val="28"/>
              </w:rPr>
              <w:t>6</w:t>
            </w:r>
          </w:p>
          <w:p w14:paraId="2724497B" w14:textId="77777777" w:rsidR="000826A2" w:rsidRDefault="000826A2" w:rsidP="000826A2">
            <w:pPr>
              <w:jc w:val="center"/>
              <w:rPr>
                <w:b/>
              </w:rPr>
            </w:pPr>
          </w:p>
        </w:tc>
      </w:tr>
    </w:tbl>
    <w:p w14:paraId="3E16410F" w14:textId="77777777" w:rsidR="00CE5378" w:rsidRDefault="000826A2" w:rsidP="00CE5378">
      <w:pPr>
        <w:spacing w:after="0"/>
        <w:rPr>
          <w:sz w:val="28"/>
          <w:szCs w:val="28"/>
        </w:rPr>
      </w:pPr>
      <w:r>
        <w:rPr>
          <w:b/>
        </w:rPr>
        <w:tab/>
      </w:r>
      <w:r>
        <w:rPr>
          <w:b/>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34"/>
      </w:tblGrid>
      <w:tr w:rsidR="00CE5378" w14:paraId="4F4CDB8D" w14:textId="77777777" w:rsidTr="00D23394">
        <w:tc>
          <w:tcPr>
            <w:tcW w:w="2122" w:type="dxa"/>
          </w:tcPr>
          <w:p w14:paraId="76CAC2B9" w14:textId="77777777" w:rsidR="00CE5378" w:rsidRPr="00D868D2" w:rsidRDefault="00CE5378" w:rsidP="00D23394">
            <w:pPr>
              <w:jc w:val="right"/>
              <w:rPr>
                <w:rFonts w:cs="Times New Roman"/>
                <w:i/>
                <w:iCs/>
                <w:sz w:val="28"/>
                <w:szCs w:val="28"/>
              </w:rPr>
            </w:pPr>
            <w:r w:rsidRPr="00D868D2">
              <w:rPr>
                <w:rFonts w:cs="Times New Roman"/>
                <w:i/>
                <w:iCs/>
                <w:sz w:val="28"/>
                <w:szCs w:val="28"/>
              </w:rPr>
              <w:t>Kính gửi:</w:t>
            </w:r>
          </w:p>
          <w:p w14:paraId="5B9D3116" w14:textId="77777777" w:rsidR="00CE5378" w:rsidRDefault="00CE5378" w:rsidP="00D23394">
            <w:pPr>
              <w:rPr>
                <w:rFonts w:cs="Times New Roman"/>
                <w:sz w:val="28"/>
                <w:szCs w:val="28"/>
              </w:rPr>
            </w:pPr>
          </w:p>
        </w:tc>
        <w:tc>
          <w:tcPr>
            <w:tcW w:w="6934" w:type="dxa"/>
          </w:tcPr>
          <w:p w14:paraId="3870F8D4" w14:textId="77777777" w:rsidR="00CE5378" w:rsidRDefault="00CE5378" w:rsidP="00D23394">
            <w:pPr>
              <w:rPr>
                <w:rFonts w:cs="Times New Roman"/>
                <w:sz w:val="28"/>
                <w:szCs w:val="28"/>
              </w:rPr>
            </w:pPr>
            <w:r w:rsidRPr="00D868D2">
              <w:rPr>
                <w:rFonts w:cs="Times New Roman"/>
                <w:sz w:val="28"/>
                <w:szCs w:val="28"/>
              </w:rPr>
              <w:t xml:space="preserve">- Các </w:t>
            </w:r>
            <w:r>
              <w:rPr>
                <w:rFonts w:cs="Times New Roman"/>
                <w:sz w:val="28"/>
                <w:szCs w:val="28"/>
              </w:rPr>
              <w:t>cấp ủy</w:t>
            </w:r>
            <w:r w:rsidRPr="00D868D2">
              <w:rPr>
                <w:rFonts w:cs="Times New Roman"/>
                <w:sz w:val="28"/>
                <w:szCs w:val="28"/>
              </w:rPr>
              <w:t xml:space="preserve"> trực thuộc </w:t>
            </w:r>
          </w:p>
          <w:p w14:paraId="61069CB4" w14:textId="77777777" w:rsidR="00CE5378" w:rsidRPr="00D868D2" w:rsidRDefault="00CE5378" w:rsidP="00D23394">
            <w:pPr>
              <w:rPr>
                <w:rFonts w:cs="Times New Roman"/>
                <w:sz w:val="28"/>
                <w:szCs w:val="28"/>
              </w:rPr>
            </w:pPr>
            <w:r w:rsidRPr="00D868D2">
              <w:rPr>
                <w:rFonts w:cs="Times New Roman"/>
                <w:sz w:val="28"/>
                <w:szCs w:val="28"/>
              </w:rPr>
              <w:t>Đảng ủy Mặt trận Tổ quốc, các đoàn thể Trung ương</w:t>
            </w:r>
          </w:p>
          <w:p w14:paraId="55B68E5D" w14:textId="77777777" w:rsidR="00CE5378" w:rsidRDefault="00CE5378" w:rsidP="00D23394">
            <w:pPr>
              <w:rPr>
                <w:rFonts w:cs="Times New Roman"/>
                <w:sz w:val="28"/>
                <w:szCs w:val="28"/>
              </w:rPr>
            </w:pPr>
            <w:r w:rsidRPr="00D868D2">
              <w:rPr>
                <w:rFonts w:cs="Times New Roman"/>
                <w:sz w:val="28"/>
                <w:szCs w:val="28"/>
              </w:rPr>
              <w:t xml:space="preserve">- Các </w:t>
            </w:r>
            <w:r>
              <w:rPr>
                <w:rFonts w:cs="Times New Roman"/>
                <w:sz w:val="28"/>
                <w:szCs w:val="28"/>
              </w:rPr>
              <w:t>cơ quan báo chí trực thuộc</w:t>
            </w:r>
          </w:p>
          <w:p w14:paraId="75A18F1C" w14:textId="286069B6" w:rsidR="00CE5378" w:rsidRDefault="00CE5378" w:rsidP="00D23394">
            <w:pPr>
              <w:rPr>
                <w:rFonts w:cs="Times New Roman"/>
                <w:sz w:val="28"/>
                <w:szCs w:val="28"/>
              </w:rPr>
            </w:pPr>
            <w:r w:rsidRPr="00D868D2">
              <w:rPr>
                <w:rFonts w:cs="Times New Roman"/>
                <w:sz w:val="28"/>
                <w:szCs w:val="28"/>
              </w:rPr>
              <w:t>Đảng ủy Mặt trận Tổ quốc, các đoàn thể Trung ương</w:t>
            </w:r>
          </w:p>
          <w:p w14:paraId="51FC18B6" w14:textId="77777777" w:rsidR="00CE5378" w:rsidRDefault="00CE5378" w:rsidP="00D23394">
            <w:pPr>
              <w:rPr>
                <w:rFonts w:cs="Times New Roman"/>
                <w:sz w:val="28"/>
                <w:szCs w:val="28"/>
              </w:rPr>
            </w:pPr>
          </w:p>
        </w:tc>
      </w:tr>
    </w:tbl>
    <w:p w14:paraId="619F7B82" w14:textId="4C60F14F" w:rsidR="000826A2" w:rsidRDefault="000826A2" w:rsidP="00CE5378">
      <w:pPr>
        <w:spacing w:after="0"/>
        <w:rPr>
          <w:sz w:val="28"/>
          <w:szCs w:val="28"/>
        </w:rPr>
      </w:pPr>
    </w:p>
    <w:p w14:paraId="3DEED664" w14:textId="765F7369" w:rsidR="00BC519F" w:rsidRPr="00BC519F" w:rsidRDefault="000826A2" w:rsidP="00664819">
      <w:pPr>
        <w:pStyle w:val="NoSpacing"/>
        <w:spacing w:before="80" w:after="80" w:line="320" w:lineRule="exact"/>
        <w:jc w:val="both"/>
        <w:rPr>
          <w:rFonts w:ascii="Times New Roman" w:hAnsi="Times New Roman" w:cs="Times New Roman"/>
          <w:sz w:val="28"/>
          <w:szCs w:val="28"/>
        </w:rPr>
      </w:pPr>
      <w:r>
        <w:tab/>
      </w:r>
      <w:r w:rsidR="00BC519F" w:rsidRPr="00BC519F">
        <w:rPr>
          <w:rFonts w:ascii="Times New Roman" w:hAnsi="Times New Roman" w:cs="Times New Roman"/>
          <w:sz w:val="28"/>
          <w:szCs w:val="28"/>
        </w:rPr>
        <w:t>Triển khai thực hiện Công văn số 594-CV/BTGDVTW, ngày 30/3/2026 của Ban Tuyên giáo và Dân vận Trung ương về tăng cường tổ chức và tuyên truyền Ngày Sách và Văn hóa đọc Việt Nam 21/4; Hướng dẫn số 13-HD/BTGDVTW, ngày 27/3/2026 về tuyên truyền kết quả Hội nghị lần thứ hai Ban Chấp hành Trung ương Đảng khóa XIV; và Hướng dẫn số 15-HD/BTGDVTW, ngày 07/4/2026 về nghiên cứu, học tập, quán triệt và triển khai thực hiện Nghị quyết Hội nghị lần thứ hai Ban Chấp hành Trung ương Đảng khóa XIV, Ban Tuyên giáo và Dân vận Đảng ủy Mặt trận Tổ quốc, các đoàn thể Trung ương đề nghị các cấp ủy, tổ chức đảng và các cơ quan báo chí trực thuộc tập trung lãnh đạo, chỉ đạo triển khai thực hiện một số nội dung sau:</w:t>
      </w:r>
    </w:p>
    <w:p w14:paraId="356FAC29" w14:textId="77777777" w:rsidR="00BC519F" w:rsidRDefault="00BC519F" w:rsidP="00664819">
      <w:pPr>
        <w:tabs>
          <w:tab w:val="num" w:pos="720"/>
        </w:tabs>
        <w:spacing w:before="80" w:after="80" w:line="320" w:lineRule="exact"/>
        <w:jc w:val="both"/>
        <w:rPr>
          <w:b/>
          <w:bCs/>
          <w:sz w:val="28"/>
          <w:szCs w:val="28"/>
        </w:rPr>
      </w:pPr>
      <w:r>
        <w:rPr>
          <w:b/>
          <w:bCs/>
          <w:sz w:val="28"/>
          <w:szCs w:val="28"/>
        </w:rPr>
        <w:tab/>
      </w:r>
      <w:r w:rsidRPr="00BC519F">
        <w:rPr>
          <w:b/>
          <w:bCs/>
          <w:sz w:val="28"/>
          <w:szCs w:val="28"/>
        </w:rPr>
        <w:t>1. Đối với các cấp ủy, tổ chức đảng trực thuộc</w:t>
      </w:r>
    </w:p>
    <w:p w14:paraId="69C7398F" w14:textId="77777777" w:rsidR="00BC519F" w:rsidRDefault="00BC519F" w:rsidP="00664819">
      <w:pPr>
        <w:tabs>
          <w:tab w:val="num" w:pos="720"/>
        </w:tabs>
        <w:spacing w:before="80" w:after="80" w:line="320" w:lineRule="exact"/>
        <w:jc w:val="both"/>
        <w:rPr>
          <w:b/>
          <w:bCs/>
          <w:sz w:val="28"/>
          <w:szCs w:val="28"/>
        </w:rPr>
      </w:pPr>
      <w:r>
        <w:rPr>
          <w:b/>
          <w:bCs/>
          <w:sz w:val="28"/>
          <w:szCs w:val="28"/>
        </w:rPr>
        <w:tab/>
        <w:t xml:space="preserve">- </w:t>
      </w:r>
      <w:r w:rsidRPr="00BC519F">
        <w:rPr>
          <w:sz w:val="28"/>
          <w:szCs w:val="28"/>
        </w:rPr>
        <w:t xml:space="preserve">Tổ chức nghiên cứu, học tập, quán triệt và triển khai thực hiện nghiêm túc các nội dung của Nghị quyết Hội nghị lần thứ hai Ban Chấp hành Trung ương Đảng khóa XIV và các văn bản hướng dẫn của Ban Tuyên giáo và Dân vận Trung ương; bảo đảm thiết thực, hiệu quả, phù hợp với đặc điểm tình hình của cơ quan, đơn vị. </w:t>
      </w:r>
    </w:p>
    <w:p w14:paraId="0C6A43DB" w14:textId="77777777" w:rsidR="00BC519F" w:rsidRDefault="00BC519F" w:rsidP="00664819">
      <w:pPr>
        <w:tabs>
          <w:tab w:val="num" w:pos="720"/>
        </w:tabs>
        <w:spacing w:before="80" w:after="80" w:line="320" w:lineRule="exact"/>
        <w:jc w:val="both"/>
        <w:rPr>
          <w:b/>
          <w:bCs/>
          <w:sz w:val="28"/>
          <w:szCs w:val="28"/>
        </w:rPr>
      </w:pPr>
      <w:r>
        <w:rPr>
          <w:b/>
          <w:bCs/>
          <w:sz w:val="28"/>
          <w:szCs w:val="28"/>
        </w:rPr>
        <w:tab/>
        <w:t xml:space="preserve">- </w:t>
      </w:r>
      <w:r w:rsidRPr="00BC519F">
        <w:rPr>
          <w:sz w:val="28"/>
          <w:szCs w:val="28"/>
        </w:rPr>
        <w:t xml:space="preserve">Chỉ đạo xây dựng, bổ sung, hoàn thiện chương trình hành động, kế hoạch thực hiện; cụ thể hóa các nội dung của Nghị quyết và các văn bản chỉ đạo thành nhiệm vụ, giải pháp cụ thể, gắn với chức năng, nhiệm vụ được giao; xác định rõ trách nhiệm của tập thể, cá nhân, nhất là người đứng đầu trong tổ chức thực hiện. </w:t>
      </w:r>
      <w:r>
        <w:rPr>
          <w:b/>
          <w:bCs/>
          <w:sz w:val="28"/>
          <w:szCs w:val="28"/>
        </w:rPr>
        <w:tab/>
        <w:t xml:space="preserve">- </w:t>
      </w:r>
      <w:r w:rsidRPr="00BC519F">
        <w:rPr>
          <w:sz w:val="28"/>
          <w:szCs w:val="28"/>
        </w:rPr>
        <w:t xml:space="preserve">Đẩy mạnh công tác tuyên truyền, phổ biến sâu rộng trong cán bộ, đảng viên, đoàn viên, hội viên và các tầng lớp nhân dân về kết quả Hội nghị lần thứ hai Ban Chấp hành Trung ương Đảng khóa XIV; gắn với tuyên truyền thực hiện các nhiệm vụ chính trị của cơ quan, đơn vị. </w:t>
      </w:r>
    </w:p>
    <w:p w14:paraId="606C516D" w14:textId="77777777" w:rsidR="00BC519F" w:rsidRPr="00664819" w:rsidRDefault="00BC519F" w:rsidP="00664819">
      <w:pPr>
        <w:tabs>
          <w:tab w:val="num" w:pos="720"/>
        </w:tabs>
        <w:spacing w:before="80" w:after="80" w:line="320" w:lineRule="exact"/>
        <w:jc w:val="both"/>
        <w:rPr>
          <w:b/>
          <w:bCs/>
          <w:spacing w:val="-4"/>
          <w:sz w:val="28"/>
          <w:szCs w:val="28"/>
        </w:rPr>
      </w:pPr>
      <w:r w:rsidRPr="00664819">
        <w:rPr>
          <w:b/>
          <w:bCs/>
          <w:spacing w:val="-4"/>
          <w:sz w:val="28"/>
          <w:szCs w:val="28"/>
        </w:rPr>
        <w:tab/>
        <w:t xml:space="preserve">- </w:t>
      </w:r>
      <w:r w:rsidRPr="00664819">
        <w:rPr>
          <w:spacing w:val="-4"/>
          <w:sz w:val="28"/>
          <w:szCs w:val="28"/>
        </w:rPr>
        <w:t xml:space="preserve">Lồng ghép, tổ chức các hoạt động hưởng ứng Ngày Sách và Văn hóa đọc Việt Nam 21/4 phù hợp với điều kiện thực tiễn; góp phần nâng cao nhận thức, hình thành thói quen đọc sách, phát triển văn hóa đọc trong cán bộ, đảng viên và Nhân dân. </w:t>
      </w:r>
    </w:p>
    <w:p w14:paraId="72778B29" w14:textId="6D934878" w:rsidR="00BC519F" w:rsidRPr="00664819" w:rsidRDefault="00BC519F" w:rsidP="00664819">
      <w:pPr>
        <w:tabs>
          <w:tab w:val="num" w:pos="720"/>
        </w:tabs>
        <w:spacing w:before="80" w:after="80" w:line="320" w:lineRule="exact"/>
        <w:jc w:val="both"/>
        <w:rPr>
          <w:b/>
          <w:bCs/>
          <w:spacing w:val="-4"/>
          <w:sz w:val="28"/>
          <w:szCs w:val="28"/>
        </w:rPr>
      </w:pPr>
      <w:r w:rsidRPr="00664819">
        <w:rPr>
          <w:b/>
          <w:bCs/>
          <w:spacing w:val="-4"/>
          <w:sz w:val="28"/>
          <w:szCs w:val="28"/>
        </w:rPr>
        <w:tab/>
        <w:t xml:space="preserve">- </w:t>
      </w:r>
      <w:r w:rsidRPr="00664819">
        <w:rPr>
          <w:spacing w:val="-4"/>
          <w:sz w:val="28"/>
          <w:szCs w:val="28"/>
        </w:rPr>
        <w:t xml:space="preserve">Tăng cường nắm bắt tình hình tư tưởng, dư luận xã hội; chủ động định hướng thông tin, kịp thời đấu tranh, phản bác các quan điểm sai trái, thông tin xuyên tạc liên quan đến các nội dung Hội nghị Trung ương và chủ trương, đường lối của Đảng. </w:t>
      </w:r>
    </w:p>
    <w:p w14:paraId="0B388198" w14:textId="77777777" w:rsidR="00BC519F" w:rsidRDefault="00BC519F" w:rsidP="00664819">
      <w:pPr>
        <w:spacing w:before="80" w:after="80" w:line="320" w:lineRule="exact"/>
        <w:jc w:val="both"/>
        <w:rPr>
          <w:b/>
          <w:bCs/>
          <w:sz w:val="28"/>
          <w:szCs w:val="28"/>
        </w:rPr>
      </w:pPr>
      <w:r>
        <w:rPr>
          <w:b/>
          <w:bCs/>
          <w:sz w:val="28"/>
          <w:szCs w:val="28"/>
        </w:rPr>
        <w:lastRenderedPageBreak/>
        <w:tab/>
      </w:r>
      <w:r w:rsidRPr="00BC519F">
        <w:rPr>
          <w:b/>
          <w:bCs/>
          <w:sz w:val="28"/>
          <w:szCs w:val="28"/>
        </w:rPr>
        <w:t>2. Đối với các cơ quan báo chí trực thuộc</w:t>
      </w:r>
    </w:p>
    <w:p w14:paraId="3C0A8B3C" w14:textId="638EF7C4" w:rsidR="00BC519F" w:rsidRDefault="00BC519F" w:rsidP="00664819">
      <w:pPr>
        <w:spacing w:before="80" w:after="80" w:line="320" w:lineRule="exact"/>
        <w:jc w:val="both"/>
        <w:rPr>
          <w:b/>
          <w:bCs/>
          <w:sz w:val="28"/>
          <w:szCs w:val="28"/>
        </w:rPr>
      </w:pPr>
      <w:r>
        <w:rPr>
          <w:b/>
          <w:bCs/>
          <w:sz w:val="28"/>
          <w:szCs w:val="28"/>
        </w:rPr>
        <w:tab/>
        <w:t xml:space="preserve">- </w:t>
      </w:r>
      <w:r w:rsidRPr="00BC519F">
        <w:rPr>
          <w:sz w:val="28"/>
          <w:szCs w:val="28"/>
        </w:rPr>
        <w:t xml:space="preserve">Chủ động xây dựng kế hoạch tuyên truyền, tăng cường tin, bài phản ánh, phân tích, làm rõ ý nghĩa, tầm quan trọng và các nội dung cốt lõi của Hội nghị lần thứ hai Ban Chấp hành Trung ương Đảng khóa XIV; kết quả triển khai thực hiện Nghị quyết tại các cấp, các ngành. </w:t>
      </w:r>
    </w:p>
    <w:p w14:paraId="751D6028" w14:textId="77777777" w:rsidR="00BC519F" w:rsidRDefault="00BC519F" w:rsidP="00664819">
      <w:pPr>
        <w:spacing w:before="80" w:after="80" w:line="320" w:lineRule="exact"/>
        <w:jc w:val="both"/>
        <w:rPr>
          <w:b/>
          <w:bCs/>
          <w:sz w:val="28"/>
          <w:szCs w:val="28"/>
        </w:rPr>
      </w:pPr>
      <w:r>
        <w:rPr>
          <w:b/>
          <w:bCs/>
          <w:sz w:val="28"/>
          <w:szCs w:val="28"/>
        </w:rPr>
        <w:tab/>
        <w:t xml:space="preserve">- </w:t>
      </w:r>
      <w:r w:rsidRPr="00BC519F">
        <w:rPr>
          <w:sz w:val="28"/>
          <w:szCs w:val="28"/>
        </w:rPr>
        <w:t xml:space="preserve">Đẩy mạnh tuyên truyền về nghiên cứu, học tập, quán triệt và triển khai thực hiện Nghị quyết; phản ánh sinh động những cách làm hay, mô hình hiệu quả, gương điển hình tiên tiến trong thực tiễn. </w:t>
      </w:r>
    </w:p>
    <w:p w14:paraId="7C50CE6C" w14:textId="77777777" w:rsidR="00BC519F" w:rsidRDefault="00BC519F" w:rsidP="00664819">
      <w:pPr>
        <w:spacing w:before="80" w:after="80" w:line="320" w:lineRule="exact"/>
        <w:jc w:val="both"/>
        <w:rPr>
          <w:b/>
          <w:bCs/>
          <w:sz w:val="28"/>
          <w:szCs w:val="28"/>
        </w:rPr>
      </w:pPr>
      <w:r>
        <w:rPr>
          <w:b/>
          <w:bCs/>
          <w:sz w:val="28"/>
          <w:szCs w:val="28"/>
        </w:rPr>
        <w:tab/>
        <w:t xml:space="preserve">- </w:t>
      </w:r>
      <w:r w:rsidRPr="00BC519F">
        <w:rPr>
          <w:sz w:val="28"/>
          <w:szCs w:val="28"/>
        </w:rPr>
        <w:t xml:space="preserve">Tăng cường tuyên truyền về Ngày Sách và Văn hóa đọc Việt Nam 21/4; lan tỏa giá trị của sách và văn hóa đọc trong đời sống xã hội; góp phần xây dựng môi trường văn hóa lành mạnh. </w:t>
      </w:r>
    </w:p>
    <w:p w14:paraId="4815CA9D" w14:textId="0C20FF6E" w:rsidR="00BC519F" w:rsidRPr="00BC519F" w:rsidRDefault="00BC519F" w:rsidP="00664819">
      <w:pPr>
        <w:spacing w:before="80" w:after="80" w:line="320" w:lineRule="exact"/>
        <w:jc w:val="both"/>
        <w:rPr>
          <w:b/>
          <w:bCs/>
          <w:sz w:val="28"/>
          <w:szCs w:val="28"/>
        </w:rPr>
      </w:pPr>
      <w:r>
        <w:rPr>
          <w:b/>
          <w:bCs/>
          <w:sz w:val="28"/>
          <w:szCs w:val="28"/>
        </w:rPr>
        <w:tab/>
        <w:t xml:space="preserve">- </w:t>
      </w:r>
      <w:r w:rsidRPr="00BC519F">
        <w:rPr>
          <w:sz w:val="28"/>
          <w:szCs w:val="28"/>
        </w:rPr>
        <w:t xml:space="preserve">Chủ động khai thác, sử dụng hiệu quả các nền tảng số, mạng xã hội để nâng cao hiệu quả tuyên truyền; đồng thời tăng cường đấu tranh, phản bác thông tin sai trái, thù địch, bảo vệ nền tảng tư tưởng của Đảng. </w:t>
      </w:r>
    </w:p>
    <w:p w14:paraId="070AC2E1" w14:textId="68F3CED7" w:rsidR="00BC519F" w:rsidRPr="00BC519F" w:rsidRDefault="00BC519F" w:rsidP="00664819">
      <w:pPr>
        <w:spacing w:before="80" w:after="80" w:line="320" w:lineRule="exact"/>
        <w:jc w:val="both"/>
        <w:rPr>
          <w:b/>
          <w:bCs/>
          <w:sz w:val="28"/>
          <w:szCs w:val="28"/>
        </w:rPr>
      </w:pPr>
      <w:r>
        <w:rPr>
          <w:b/>
          <w:bCs/>
          <w:sz w:val="28"/>
          <w:szCs w:val="28"/>
        </w:rPr>
        <w:tab/>
      </w:r>
      <w:r w:rsidRPr="00BC519F">
        <w:rPr>
          <w:b/>
          <w:bCs/>
          <w:sz w:val="28"/>
          <w:szCs w:val="28"/>
        </w:rPr>
        <w:t>3. Tổ chức thực hiện</w:t>
      </w:r>
    </w:p>
    <w:p w14:paraId="1446EEC0" w14:textId="7358CE21" w:rsidR="00BC519F" w:rsidRPr="00664819" w:rsidRDefault="00BC519F" w:rsidP="00664819">
      <w:pPr>
        <w:spacing w:before="80" w:after="80" w:line="320" w:lineRule="exact"/>
        <w:jc w:val="both"/>
        <w:rPr>
          <w:spacing w:val="-4"/>
          <w:sz w:val="28"/>
          <w:szCs w:val="28"/>
        </w:rPr>
      </w:pPr>
      <w:r w:rsidRPr="00664819">
        <w:rPr>
          <w:spacing w:val="-4"/>
          <w:sz w:val="28"/>
          <w:szCs w:val="28"/>
        </w:rPr>
        <w:tab/>
        <w:t>Các cấp ủy, tổ chức đảng, cơ quan, đơn vị và các cơ quan báo chí trực thuộc căn cứ nội dung công văn này và các văn bản của Ban Tuyên giáo và Dân vận Trung ương để tổ chức triển khai thực hiện; thực hiện chế độ thông tin, báo cáo theo quy định.</w:t>
      </w:r>
    </w:p>
    <w:p w14:paraId="71F7989B" w14:textId="4965A7B0" w:rsidR="00BC519F" w:rsidRPr="00257855" w:rsidRDefault="00BC519F" w:rsidP="00664819">
      <w:pPr>
        <w:spacing w:before="80" w:after="80" w:line="320" w:lineRule="exact"/>
        <w:jc w:val="both"/>
        <w:rPr>
          <w:sz w:val="28"/>
          <w:szCs w:val="28"/>
        </w:rPr>
      </w:pPr>
      <w:r>
        <w:rPr>
          <w:b/>
          <w:bCs/>
          <w:sz w:val="28"/>
          <w:szCs w:val="28"/>
        </w:rPr>
        <w:tab/>
      </w:r>
      <w:r w:rsidRPr="00BC519F">
        <w:rPr>
          <w:sz w:val="28"/>
          <w:szCs w:val="28"/>
        </w:rPr>
        <w:t>Đề nghị các đơn vị truy cập, nghiên cứu toàn văn các văn bản tại các đường link sau:</w:t>
      </w:r>
      <w:r w:rsidR="00257855">
        <w:rPr>
          <w:sz w:val="28"/>
          <w:szCs w:val="28"/>
        </w:rPr>
        <w:t xml:space="preserve"> </w:t>
      </w:r>
      <w:r w:rsidR="00257855" w:rsidRPr="00257855">
        <w:rPr>
          <w:color w:val="FF0000"/>
          <w:sz w:val="28"/>
          <w:szCs w:val="28"/>
        </w:rPr>
        <w:t>https://1.org.vn/tTfHhj</w:t>
      </w:r>
    </w:p>
    <w:p w14:paraId="42A66B8B" w14:textId="5138FF41" w:rsidR="00BC519F" w:rsidRPr="00BC519F" w:rsidRDefault="00BC519F" w:rsidP="00664819">
      <w:pPr>
        <w:spacing w:before="80" w:after="80" w:line="320" w:lineRule="exact"/>
        <w:jc w:val="both"/>
        <w:rPr>
          <w:sz w:val="28"/>
          <w:szCs w:val="28"/>
        </w:rPr>
      </w:pPr>
      <w:r>
        <w:rPr>
          <w:sz w:val="28"/>
          <w:szCs w:val="28"/>
        </w:rPr>
        <w:tab/>
      </w:r>
      <w:r w:rsidRPr="00BC519F">
        <w:rPr>
          <w:sz w:val="28"/>
          <w:szCs w:val="28"/>
        </w:rPr>
        <w:t>Ban Tuyên giáo và Dân vận Đảng ủy Mặt trận Tổ quốc, các đoàn thể Trung ương đề nghị các đơn vị nghiêm túc triển khai thực hiện.</w:t>
      </w:r>
    </w:p>
    <w:p w14:paraId="2BC60E89" w14:textId="05788971" w:rsidR="00CB1871" w:rsidRPr="000706C6" w:rsidRDefault="00CB1871" w:rsidP="00BC519F">
      <w:pPr>
        <w:spacing w:before="80" w:after="80" w:line="340" w:lineRule="exact"/>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41"/>
      </w:tblGrid>
      <w:tr w:rsidR="00BF0A10" w14:paraId="658A62B8" w14:textId="77777777" w:rsidTr="00CE2252">
        <w:tc>
          <w:tcPr>
            <w:tcW w:w="4641" w:type="dxa"/>
          </w:tcPr>
          <w:p w14:paraId="682878A8" w14:textId="77777777" w:rsidR="00CE2252" w:rsidRDefault="00BF0A10" w:rsidP="00CE2252">
            <w:pPr>
              <w:rPr>
                <w:sz w:val="24"/>
                <w:szCs w:val="24"/>
              </w:rPr>
            </w:pPr>
            <w:r w:rsidRPr="00CE2252">
              <w:rPr>
                <w:sz w:val="28"/>
                <w:szCs w:val="28"/>
                <w:u w:val="single"/>
              </w:rPr>
              <w:t>Nơi nhận:</w:t>
            </w:r>
            <w:r>
              <w:br/>
            </w:r>
            <w:r w:rsidRPr="00CE2252">
              <w:rPr>
                <w:sz w:val="24"/>
                <w:szCs w:val="24"/>
              </w:rPr>
              <w:t xml:space="preserve">- Như </w:t>
            </w:r>
            <w:r w:rsidR="00CE2252" w:rsidRPr="00CE2252">
              <w:rPr>
                <w:sz w:val="24"/>
                <w:szCs w:val="24"/>
              </w:rPr>
              <w:t>trên,</w:t>
            </w:r>
          </w:p>
          <w:p w14:paraId="190C0568" w14:textId="77777777" w:rsidR="00575D7D" w:rsidRDefault="000706C6" w:rsidP="00CE2252">
            <w:pPr>
              <w:rPr>
                <w:sz w:val="24"/>
                <w:szCs w:val="24"/>
              </w:rPr>
            </w:pPr>
            <w:r>
              <w:rPr>
                <w:sz w:val="24"/>
                <w:szCs w:val="24"/>
              </w:rPr>
              <w:t xml:space="preserve">- Đ/c Bùi Thị Minh Hoài, Ủy viên BCT, </w:t>
            </w:r>
          </w:p>
          <w:p w14:paraId="73A9AB88" w14:textId="073D652C" w:rsidR="000706C6" w:rsidRDefault="000706C6" w:rsidP="00CE2252">
            <w:pPr>
              <w:rPr>
                <w:sz w:val="24"/>
                <w:szCs w:val="24"/>
              </w:rPr>
            </w:pPr>
            <w:r>
              <w:rPr>
                <w:sz w:val="24"/>
                <w:szCs w:val="24"/>
              </w:rPr>
              <w:t>Bí thư Trung ương Đảng, Bí thư Đảng ủy</w:t>
            </w:r>
            <w:r w:rsidR="00690B66">
              <w:rPr>
                <w:sz w:val="24"/>
                <w:szCs w:val="24"/>
              </w:rPr>
              <w:t>,</w:t>
            </w:r>
            <w:r>
              <w:rPr>
                <w:sz w:val="24"/>
                <w:szCs w:val="24"/>
              </w:rPr>
              <w:t xml:space="preserve"> Chủ tịch </w:t>
            </w:r>
            <w:r w:rsidR="00CB1871">
              <w:rPr>
                <w:sz w:val="24"/>
                <w:szCs w:val="24"/>
              </w:rPr>
              <w:t xml:space="preserve">UBTW </w:t>
            </w:r>
            <w:r>
              <w:rPr>
                <w:sz w:val="24"/>
                <w:szCs w:val="24"/>
              </w:rPr>
              <w:t>MTTQ Việt Nam (để b/c),</w:t>
            </w:r>
          </w:p>
          <w:p w14:paraId="3BD1E895" w14:textId="3071952D" w:rsidR="00690B66" w:rsidRDefault="00690B66" w:rsidP="00CE2252">
            <w:pPr>
              <w:rPr>
                <w:sz w:val="24"/>
                <w:szCs w:val="24"/>
              </w:rPr>
            </w:pPr>
            <w:r>
              <w:rPr>
                <w:sz w:val="24"/>
                <w:szCs w:val="24"/>
              </w:rPr>
              <w:t>- Ban TGDVTW (để b/c),</w:t>
            </w:r>
          </w:p>
          <w:p w14:paraId="4F266CD4" w14:textId="77777777" w:rsidR="00BF0A10" w:rsidRPr="00CE2252" w:rsidRDefault="00CE2252" w:rsidP="00CE2252">
            <w:pPr>
              <w:rPr>
                <w:sz w:val="24"/>
                <w:szCs w:val="24"/>
              </w:rPr>
            </w:pPr>
            <w:r w:rsidRPr="00CE2252">
              <w:rPr>
                <w:sz w:val="24"/>
                <w:szCs w:val="24"/>
              </w:rPr>
              <w:t>- Thường trực Đảng ủy (để b/c),</w:t>
            </w:r>
            <w:r w:rsidR="00BF0A10" w:rsidRPr="00CE2252">
              <w:rPr>
                <w:sz w:val="24"/>
                <w:szCs w:val="24"/>
              </w:rPr>
              <w:br/>
              <w:t xml:space="preserve">- Lưu: </w:t>
            </w:r>
            <w:r w:rsidRPr="00CE2252">
              <w:rPr>
                <w:sz w:val="24"/>
                <w:szCs w:val="24"/>
              </w:rPr>
              <w:t>Ban TG&amp;DV</w:t>
            </w:r>
            <w:r w:rsidR="00BF0A10" w:rsidRPr="00CE2252">
              <w:rPr>
                <w:sz w:val="24"/>
                <w:szCs w:val="24"/>
              </w:rPr>
              <w:t>.</w:t>
            </w:r>
          </w:p>
          <w:p w14:paraId="1029D490" w14:textId="77777777" w:rsidR="00BF0A10" w:rsidRDefault="00BF0A10" w:rsidP="000826A2">
            <w:pPr>
              <w:spacing w:after="160"/>
              <w:jc w:val="both"/>
              <w:rPr>
                <w:sz w:val="28"/>
                <w:szCs w:val="28"/>
              </w:rPr>
            </w:pPr>
          </w:p>
        </w:tc>
        <w:tc>
          <w:tcPr>
            <w:tcW w:w="4641" w:type="dxa"/>
          </w:tcPr>
          <w:p w14:paraId="2FCC6018" w14:textId="77777777" w:rsidR="00BF0A10" w:rsidRDefault="00CE2252" w:rsidP="00CE2252">
            <w:pPr>
              <w:spacing w:after="160"/>
              <w:jc w:val="center"/>
              <w:rPr>
                <w:b/>
                <w:bCs/>
                <w:sz w:val="28"/>
                <w:szCs w:val="28"/>
              </w:rPr>
            </w:pPr>
            <w:r w:rsidRPr="00CE2252">
              <w:rPr>
                <w:b/>
                <w:bCs/>
                <w:sz w:val="28"/>
                <w:szCs w:val="28"/>
              </w:rPr>
              <w:t>TRƯỞNG BAN</w:t>
            </w:r>
          </w:p>
          <w:p w14:paraId="4E8F5302" w14:textId="77777777" w:rsidR="00CE2252" w:rsidRDefault="00CE2252" w:rsidP="00CE2252">
            <w:pPr>
              <w:spacing w:after="160"/>
              <w:jc w:val="center"/>
              <w:rPr>
                <w:b/>
                <w:bCs/>
                <w:sz w:val="28"/>
                <w:szCs w:val="28"/>
              </w:rPr>
            </w:pPr>
          </w:p>
          <w:p w14:paraId="6B7048D8" w14:textId="77777777" w:rsidR="00CE2252" w:rsidRDefault="00CE2252" w:rsidP="00CE2252">
            <w:pPr>
              <w:spacing w:after="160"/>
              <w:jc w:val="center"/>
              <w:rPr>
                <w:b/>
                <w:bCs/>
                <w:sz w:val="28"/>
                <w:szCs w:val="28"/>
              </w:rPr>
            </w:pPr>
          </w:p>
          <w:p w14:paraId="4DA76D7F" w14:textId="77777777" w:rsidR="00CE2252" w:rsidRDefault="00CE2252" w:rsidP="00CE2252">
            <w:pPr>
              <w:spacing w:after="160"/>
              <w:jc w:val="center"/>
              <w:rPr>
                <w:b/>
                <w:bCs/>
                <w:sz w:val="28"/>
                <w:szCs w:val="28"/>
              </w:rPr>
            </w:pPr>
          </w:p>
          <w:p w14:paraId="2B2071B0" w14:textId="77777777" w:rsidR="00CB1871" w:rsidRDefault="00CB1871" w:rsidP="00CE2252">
            <w:pPr>
              <w:spacing w:after="160"/>
              <w:jc w:val="center"/>
              <w:rPr>
                <w:b/>
                <w:bCs/>
                <w:sz w:val="28"/>
                <w:szCs w:val="28"/>
              </w:rPr>
            </w:pPr>
          </w:p>
          <w:p w14:paraId="16B62A88" w14:textId="77777777" w:rsidR="00CE2252" w:rsidRPr="00CE2252" w:rsidRDefault="00CE2252" w:rsidP="00CE2252">
            <w:pPr>
              <w:spacing w:after="160"/>
              <w:jc w:val="center"/>
              <w:rPr>
                <w:b/>
                <w:bCs/>
                <w:sz w:val="28"/>
                <w:szCs w:val="28"/>
              </w:rPr>
            </w:pPr>
            <w:r>
              <w:rPr>
                <w:b/>
                <w:bCs/>
                <w:sz w:val="28"/>
                <w:szCs w:val="28"/>
              </w:rPr>
              <w:t>Nguyễn Minh Chung</w:t>
            </w:r>
          </w:p>
        </w:tc>
      </w:tr>
    </w:tbl>
    <w:p w14:paraId="08FA1958" w14:textId="77777777" w:rsidR="006D7F77" w:rsidRDefault="006D7F77">
      <w:pPr>
        <w:spacing w:after="120"/>
      </w:pPr>
    </w:p>
    <w:sectPr w:rsidR="006D7F77" w:rsidSect="00664819">
      <w:headerReference w:type="even" r:id="rId8"/>
      <w:headerReference w:type="default" r:id="rId9"/>
      <w:pgSz w:w="11901" w:h="16840" w:code="9"/>
      <w:pgMar w:top="1134" w:right="907" w:bottom="1021"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0C970" w14:textId="77777777" w:rsidR="00897E32" w:rsidRDefault="00897E32" w:rsidP="00AB05D7">
      <w:pPr>
        <w:spacing w:after="0" w:line="240" w:lineRule="auto"/>
      </w:pPr>
      <w:r>
        <w:separator/>
      </w:r>
    </w:p>
  </w:endnote>
  <w:endnote w:type="continuationSeparator" w:id="0">
    <w:p w14:paraId="44EEF50F" w14:textId="77777777" w:rsidR="00897E32" w:rsidRDefault="00897E32" w:rsidP="00AB0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355D7" w14:textId="77777777" w:rsidR="00897E32" w:rsidRDefault="00897E32" w:rsidP="00AB05D7">
      <w:pPr>
        <w:spacing w:after="0" w:line="240" w:lineRule="auto"/>
      </w:pPr>
      <w:r>
        <w:separator/>
      </w:r>
    </w:p>
  </w:footnote>
  <w:footnote w:type="continuationSeparator" w:id="0">
    <w:p w14:paraId="4B7D28F8" w14:textId="77777777" w:rsidR="00897E32" w:rsidRDefault="00897E32" w:rsidP="00AB0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96089641"/>
      <w:docPartObj>
        <w:docPartGallery w:val="Page Numbers (Top of Page)"/>
        <w:docPartUnique/>
      </w:docPartObj>
    </w:sdtPr>
    <w:sdtContent>
      <w:p w14:paraId="04023552" w14:textId="77777777" w:rsidR="00AB05D7" w:rsidRDefault="00AB05D7" w:rsidP="00AB05D7">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C43C51" w14:textId="77777777" w:rsidR="00AB05D7" w:rsidRDefault="00AB05D7" w:rsidP="00AB05D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6E31C" w14:textId="77777777" w:rsidR="00AB05D7" w:rsidRDefault="00AB05D7" w:rsidP="00AB05D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6B00FF"/>
    <w:multiLevelType w:val="multilevel"/>
    <w:tmpl w:val="F060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8929A6"/>
    <w:multiLevelType w:val="multilevel"/>
    <w:tmpl w:val="0D3C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DD1D3E"/>
    <w:multiLevelType w:val="multilevel"/>
    <w:tmpl w:val="212E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6F381D"/>
    <w:multiLevelType w:val="multilevel"/>
    <w:tmpl w:val="028A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860094">
    <w:abstractNumId w:val="8"/>
  </w:num>
  <w:num w:numId="2" w16cid:durableId="423113863">
    <w:abstractNumId w:val="6"/>
  </w:num>
  <w:num w:numId="3" w16cid:durableId="1078867395">
    <w:abstractNumId w:val="5"/>
  </w:num>
  <w:num w:numId="4" w16cid:durableId="422149591">
    <w:abstractNumId w:val="4"/>
  </w:num>
  <w:num w:numId="5" w16cid:durableId="410583901">
    <w:abstractNumId w:val="7"/>
  </w:num>
  <w:num w:numId="6" w16cid:durableId="738478700">
    <w:abstractNumId w:val="3"/>
  </w:num>
  <w:num w:numId="7" w16cid:durableId="734468931">
    <w:abstractNumId w:val="2"/>
  </w:num>
  <w:num w:numId="8" w16cid:durableId="1297881337">
    <w:abstractNumId w:val="1"/>
  </w:num>
  <w:num w:numId="9" w16cid:durableId="437600156">
    <w:abstractNumId w:val="0"/>
  </w:num>
  <w:num w:numId="10" w16cid:durableId="1046366897">
    <w:abstractNumId w:val="12"/>
  </w:num>
  <w:num w:numId="11" w16cid:durableId="669792099">
    <w:abstractNumId w:val="10"/>
  </w:num>
  <w:num w:numId="12" w16cid:durableId="1614894550">
    <w:abstractNumId w:val="9"/>
  </w:num>
  <w:num w:numId="13" w16cid:durableId="5924687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06C6"/>
    <w:rsid w:val="000826A2"/>
    <w:rsid w:val="00103DED"/>
    <w:rsid w:val="0015074B"/>
    <w:rsid w:val="001B0211"/>
    <w:rsid w:val="00241A20"/>
    <w:rsid w:val="00257855"/>
    <w:rsid w:val="0029639D"/>
    <w:rsid w:val="00323F5E"/>
    <w:rsid w:val="00326F90"/>
    <w:rsid w:val="00346D29"/>
    <w:rsid w:val="004A3489"/>
    <w:rsid w:val="00502209"/>
    <w:rsid w:val="00575D7D"/>
    <w:rsid w:val="005F7C81"/>
    <w:rsid w:val="00624760"/>
    <w:rsid w:val="00664819"/>
    <w:rsid w:val="00690B66"/>
    <w:rsid w:val="006D7F77"/>
    <w:rsid w:val="00770007"/>
    <w:rsid w:val="008317E6"/>
    <w:rsid w:val="00897E32"/>
    <w:rsid w:val="008D060B"/>
    <w:rsid w:val="00964080"/>
    <w:rsid w:val="00AA1438"/>
    <w:rsid w:val="00AA1D8D"/>
    <w:rsid w:val="00AB05D7"/>
    <w:rsid w:val="00B47730"/>
    <w:rsid w:val="00BC519F"/>
    <w:rsid w:val="00BF0A10"/>
    <w:rsid w:val="00C00412"/>
    <w:rsid w:val="00C85439"/>
    <w:rsid w:val="00CB0664"/>
    <w:rsid w:val="00CB1871"/>
    <w:rsid w:val="00CE2252"/>
    <w:rsid w:val="00CE5378"/>
    <w:rsid w:val="00D47733"/>
    <w:rsid w:val="00F30F50"/>
    <w:rsid w:val="00F95103"/>
    <w:rsid w:val="00FC693F"/>
    <w:rsid w:val="00FC6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192912"/>
  <w14:defaultImageDpi w14:val="300"/>
  <w15:docId w15:val="{023F3723-4DE8-894B-BF82-C0842321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AB05D7"/>
  </w:style>
  <w:style w:type="paragraph" w:styleId="NormalWeb">
    <w:name w:val="Normal (Web)"/>
    <w:basedOn w:val="Normal"/>
    <w:uiPriority w:val="99"/>
    <w:semiHidden/>
    <w:unhideWhenUsed/>
    <w:rsid w:val="000706C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169514">
      <w:bodyDiv w:val="1"/>
      <w:marLeft w:val="0"/>
      <w:marRight w:val="0"/>
      <w:marTop w:val="0"/>
      <w:marBottom w:val="0"/>
      <w:divBdr>
        <w:top w:val="none" w:sz="0" w:space="0" w:color="auto"/>
        <w:left w:val="none" w:sz="0" w:space="0" w:color="auto"/>
        <w:bottom w:val="none" w:sz="0" w:space="0" w:color="auto"/>
        <w:right w:val="none" w:sz="0" w:space="0" w:color="auto"/>
      </w:divBdr>
    </w:div>
    <w:div w:id="789200436">
      <w:bodyDiv w:val="1"/>
      <w:marLeft w:val="0"/>
      <w:marRight w:val="0"/>
      <w:marTop w:val="0"/>
      <w:marBottom w:val="0"/>
      <w:divBdr>
        <w:top w:val="none" w:sz="0" w:space="0" w:color="auto"/>
        <w:left w:val="none" w:sz="0" w:space="0" w:color="auto"/>
        <w:bottom w:val="none" w:sz="0" w:space="0" w:color="auto"/>
        <w:right w:val="none" w:sz="0" w:space="0" w:color="auto"/>
      </w:divBdr>
    </w:div>
    <w:div w:id="1528787557">
      <w:bodyDiv w:val="1"/>
      <w:marLeft w:val="0"/>
      <w:marRight w:val="0"/>
      <w:marTop w:val="0"/>
      <w:marBottom w:val="0"/>
      <w:divBdr>
        <w:top w:val="none" w:sz="0" w:space="0" w:color="auto"/>
        <w:left w:val="none" w:sz="0" w:space="0" w:color="auto"/>
        <w:bottom w:val="none" w:sz="0" w:space="0" w:color="auto"/>
        <w:right w:val="none" w:sz="0" w:space="0" w:color="auto"/>
      </w:divBdr>
    </w:div>
    <w:div w:id="1616643449">
      <w:bodyDiv w:val="1"/>
      <w:marLeft w:val="0"/>
      <w:marRight w:val="0"/>
      <w:marTop w:val="0"/>
      <w:marBottom w:val="0"/>
      <w:divBdr>
        <w:top w:val="none" w:sz="0" w:space="0" w:color="auto"/>
        <w:left w:val="none" w:sz="0" w:space="0" w:color="auto"/>
        <w:bottom w:val="none" w:sz="0" w:space="0" w:color="auto"/>
        <w:right w:val="none" w:sz="0" w:space="0" w:color="auto"/>
      </w:divBdr>
    </w:div>
    <w:div w:id="1854302440">
      <w:bodyDiv w:val="1"/>
      <w:marLeft w:val="0"/>
      <w:marRight w:val="0"/>
      <w:marTop w:val="0"/>
      <w:marBottom w:val="0"/>
      <w:divBdr>
        <w:top w:val="none" w:sz="0" w:space="0" w:color="auto"/>
        <w:left w:val="none" w:sz="0" w:space="0" w:color="auto"/>
        <w:bottom w:val="none" w:sz="0" w:space="0" w:color="auto"/>
        <w:right w:val="none" w:sz="0" w:space="0" w:color="auto"/>
      </w:divBdr>
    </w:div>
    <w:div w:id="20082902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6</cp:revision>
  <cp:lastPrinted>2026-04-10T02:18:00Z</cp:lastPrinted>
  <dcterms:created xsi:type="dcterms:W3CDTF">2026-04-10T15:07:00Z</dcterms:created>
  <dcterms:modified xsi:type="dcterms:W3CDTF">2026-04-10T10:17:00Z</dcterms:modified>
  <cp:category/>
</cp:coreProperties>
</file>